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1B1E" w14:textId="761C93EA" w:rsidR="00967E90" w:rsidRDefault="00967E90" w:rsidP="0071641B">
      <w:pPr>
        <w:jc w:val="center"/>
        <w:rPr>
          <w:b/>
          <w:bCs/>
          <w:i/>
          <w:iCs/>
        </w:rPr>
      </w:pPr>
      <w:r w:rsidRPr="00DC3518">
        <w:rPr>
          <w:b/>
          <w:bCs/>
          <w:i/>
          <w:iCs/>
        </w:rPr>
        <w:t>Dermatology Letter</w:t>
      </w:r>
    </w:p>
    <w:p w14:paraId="41635CA3" w14:textId="77777777" w:rsidR="006A085A" w:rsidRPr="00DC3518" w:rsidRDefault="006A085A" w:rsidP="0071641B">
      <w:pPr>
        <w:jc w:val="center"/>
        <w:rPr>
          <w:b/>
          <w:bCs/>
          <w:i/>
          <w:iCs/>
        </w:rPr>
      </w:pPr>
    </w:p>
    <w:p w14:paraId="756D98B1" w14:textId="1C0330BE" w:rsidR="0026705C" w:rsidRPr="00DC3518" w:rsidRDefault="002967F0" w:rsidP="0071641B">
      <w:pPr>
        <w:jc w:val="center"/>
        <w:rPr>
          <w:rFonts w:eastAsiaTheme="majorEastAsia"/>
          <w:b/>
          <w:bCs/>
          <w:i/>
          <w:iCs/>
        </w:rPr>
      </w:pPr>
      <w:r w:rsidRPr="00DC3518">
        <w:rPr>
          <w:rFonts w:eastAsiaTheme="majorEastAsia"/>
          <w:b/>
          <w:bCs/>
          <w:i/>
          <w:iCs/>
        </w:rPr>
        <w:t>Biologic therapy is not associated with increased COVID-19 severity in patients with hidradenitis suppurativa</w:t>
      </w:r>
      <w:r w:rsidR="0026705C" w:rsidRPr="00DC3518">
        <w:rPr>
          <w:rFonts w:eastAsiaTheme="majorEastAsia"/>
          <w:b/>
          <w:bCs/>
          <w:i/>
          <w:iCs/>
        </w:rPr>
        <w:t xml:space="preserve">: </w:t>
      </w:r>
      <w:bookmarkStart w:id="0" w:name="OLE_LINK1"/>
      <w:r w:rsidR="007E577E" w:rsidRPr="00DC3518">
        <w:rPr>
          <w:rFonts w:eastAsiaTheme="majorEastAsia"/>
          <w:b/>
          <w:bCs/>
          <w:i/>
          <w:iCs/>
        </w:rPr>
        <w:t>U</w:t>
      </w:r>
      <w:r w:rsidR="0026705C" w:rsidRPr="00DC3518">
        <w:rPr>
          <w:rFonts w:eastAsiaTheme="majorEastAsia"/>
          <w:b/>
          <w:bCs/>
          <w:i/>
          <w:iCs/>
        </w:rPr>
        <w:t>pdated findings from the Global Hidradenitis Suppurativa COVID-19 Registry</w:t>
      </w:r>
    </w:p>
    <w:bookmarkEnd w:id="0"/>
    <w:p w14:paraId="56D09714" w14:textId="77777777" w:rsidR="00741FAB" w:rsidRDefault="00741FAB" w:rsidP="0071641B"/>
    <w:p w14:paraId="15DB25AA" w14:textId="3D15F4CD" w:rsidR="00967E90" w:rsidRDefault="00967E90" w:rsidP="0071641B">
      <w:pPr>
        <w:jc w:val="center"/>
      </w:pPr>
      <w:r>
        <w:t>J</w:t>
      </w:r>
      <w:r w:rsidR="000C35C3">
        <w:t xml:space="preserve">azzmin </w:t>
      </w:r>
      <w:r>
        <w:t>C. Williams,</w:t>
      </w:r>
      <w:r w:rsidRPr="00D01124">
        <w:rPr>
          <w:vertAlign w:val="superscript"/>
        </w:rPr>
        <w:t>1</w:t>
      </w:r>
      <w:r w:rsidRPr="00B37AD4">
        <w:t xml:space="preserve"> </w:t>
      </w:r>
      <w:r>
        <w:t>R</w:t>
      </w:r>
      <w:r w:rsidR="004E75BC">
        <w:t>aed</w:t>
      </w:r>
      <w:r>
        <w:t xml:space="preserve"> Alhusayen,</w:t>
      </w:r>
      <w:r>
        <w:rPr>
          <w:vertAlign w:val="superscript"/>
        </w:rPr>
        <w:t>2</w:t>
      </w:r>
      <w:r>
        <w:t xml:space="preserve"> S</w:t>
      </w:r>
      <w:r w:rsidR="000C35C3">
        <w:t>andra</w:t>
      </w:r>
      <w:r>
        <w:t xml:space="preserve"> Guilbault,</w:t>
      </w:r>
      <w:r w:rsidR="006001FE">
        <w:rPr>
          <w:vertAlign w:val="superscript"/>
        </w:rPr>
        <w:t>3</w:t>
      </w:r>
      <w:r>
        <w:t xml:space="preserve"> N</w:t>
      </w:r>
      <w:r w:rsidR="000C35C3">
        <w:t xml:space="preserve">ancy </w:t>
      </w:r>
      <w:r>
        <w:t>K. Hills,</w:t>
      </w:r>
      <w:r w:rsidR="006001FE">
        <w:rPr>
          <w:vertAlign w:val="superscript"/>
        </w:rPr>
        <w:t>4</w:t>
      </w:r>
      <w:r>
        <w:t xml:space="preserve"> J</w:t>
      </w:r>
      <w:r w:rsidR="000C35C3">
        <w:t xml:space="preserve">ohn </w:t>
      </w:r>
      <w:r>
        <w:t>R. Ingram,</w:t>
      </w:r>
      <w:r w:rsidR="006001FE">
        <w:rPr>
          <w:vertAlign w:val="superscript"/>
        </w:rPr>
        <w:t>5</w:t>
      </w:r>
      <w:r>
        <w:t xml:space="preserve"> M</w:t>
      </w:r>
      <w:r w:rsidR="000C35C3">
        <w:t xml:space="preserve">argaret </w:t>
      </w:r>
      <w:r>
        <w:t>V. Kudlinski,</w:t>
      </w:r>
      <w:r w:rsidRPr="00D01124">
        <w:rPr>
          <w:vertAlign w:val="superscript"/>
        </w:rPr>
        <w:t>1</w:t>
      </w:r>
      <w:r>
        <w:t xml:space="preserve"> M</w:t>
      </w:r>
      <w:r w:rsidR="000C35C3">
        <w:t xml:space="preserve">ichelle </w:t>
      </w:r>
      <w:r>
        <w:t>A. Lowes,</w:t>
      </w:r>
      <w:r w:rsidR="006001FE">
        <w:rPr>
          <w:vertAlign w:val="superscript"/>
        </w:rPr>
        <w:t>6</w:t>
      </w:r>
      <w:r>
        <w:t xml:space="preserve"> A</w:t>
      </w:r>
      <w:r w:rsidR="004E75BC">
        <w:t xml:space="preserve">ngelo </w:t>
      </w:r>
      <w:r>
        <w:t>V. Marzano,</w:t>
      </w:r>
      <w:r w:rsidR="006001FE">
        <w:rPr>
          <w:vertAlign w:val="superscript"/>
        </w:rPr>
        <w:t>7,8</w:t>
      </w:r>
      <w:r>
        <w:t xml:space="preserve"> M</w:t>
      </w:r>
      <w:r w:rsidR="000C35C3">
        <w:t xml:space="preserve">aia </w:t>
      </w:r>
      <w:r>
        <w:t>Paul,</w:t>
      </w:r>
      <w:r w:rsidRPr="00D01124">
        <w:rPr>
          <w:vertAlign w:val="superscript"/>
        </w:rPr>
        <w:t>1</w:t>
      </w:r>
      <w:r>
        <w:t xml:space="preserve"> B</w:t>
      </w:r>
      <w:r w:rsidR="00E77998">
        <w:t>ente</w:t>
      </w:r>
      <w:r>
        <w:t xml:space="preserve"> Villumsen,</w:t>
      </w:r>
      <w:r w:rsidR="006001FE">
        <w:rPr>
          <w:vertAlign w:val="superscript"/>
        </w:rPr>
        <w:t>9</w:t>
      </w:r>
      <w:r>
        <w:t xml:space="preserve"> C</w:t>
      </w:r>
      <w:r w:rsidR="00E77998">
        <w:t xml:space="preserve">hristine </w:t>
      </w:r>
      <w:r>
        <w:t>A. Yannuzzi,</w:t>
      </w:r>
      <w:r>
        <w:rPr>
          <w:vertAlign w:val="superscript"/>
        </w:rPr>
        <w:t>1</w:t>
      </w:r>
      <w:r w:rsidR="006001FE">
        <w:rPr>
          <w:vertAlign w:val="superscript"/>
        </w:rPr>
        <w:t>0</w:t>
      </w:r>
      <w:r>
        <w:t xml:space="preserve"> H</w:t>
      </w:r>
      <w:r w:rsidR="000C35C3">
        <w:t xml:space="preserve">aley </w:t>
      </w:r>
      <w:r>
        <w:t>B. Naik</w:t>
      </w:r>
      <w:r w:rsidRPr="00D01124">
        <w:rPr>
          <w:vertAlign w:val="superscript"/>
        </w:rPr>
        <w:t>1</w:t>
      </w:r>
    </w:p>
    <w:p w14:paraId="068D447E" w14:textId="77777777" w:rsidR="00E7663C" w:rsidRDefault="00E7663C" w:rsidP="0071641B"/>
    <w:p w14:paraId="30C11872" w14:textId="04E5AE7D" w:rsidR="00967E90" w:rsidRPr="0031767F" w:rsidRDefault="00967E90" w:rsidP="0071641B">
      <w:r w:rsidRPr="00D01124">
        <w:rPr>
          <w:vertAlign w:val="superscript"/>
        </w:rPr>
        <w:t>1</w:t>
      </w:r>
      <w:r w:rsidRPr="00B74352">
        <w:t>Department of Dermatology, University of California San Francisco</w:t>
      </w:r>
      <w:r>
        <w:t>, San Francisco</w:t>
      </w:r>
      <w:r w:rsidRPr="00B74352">
        <w:t>, C</w:t>
      </w:r>
      <w:r>
        <w:t xml:space="preserve">A, U.S.A; </w:t>
      </w:r>
      <w:r w:rsidRPr="00D01124">
        <w:rPr>
          <w:vertAlign w:val="superscript"/>
        </w:rPr>
        <w:t>2</w:t>
      </w:r>
      <w:r w:rsidRPr="007C49AC">
        <w:rPr>
          <w:bCs/>
        </w:rPr>
        <w:t xml:space="preserve">Dermatology Division, Department of Medicine, Sunnybrook Research Institute, University of Toronto, Toronto, </w:t>
      </w:r>
      <w:r>
        <w:rPr>
          <w:bCs/>
        </w:rPr>
        <w:t>ON</w:t>
      </w:r>
      <w:r w:rsidRPr="007C49AC">
        <w:rPr>
          <w:bCs/>
        </w:rPr>
        <w:t>,</w:t>
      </w:r>
      <w:r>
        <w:rPr>
          <w:bCs/>
        </w:rPr>
        <w:t xml:space="preserve"> Canada.; </w:t>
      </w:r>
      <w:r w:rsidRPr="00ED3C1F">
        <w:rPr>
          <w:vertAlign w:val="superscript"/>
        </w:rPr>
        <w:t>3</w:t>
      </w:r>
      <w:r w:rsidRPr="008B2856">
        <w:rPr>
          <w:bCs/>
        </w:rPr>
        <w:t xml:space="preserve">Hope for HS, Troy, </w:t>
      </w:r>
      <w:r>
        <w:rPr>
          <w:bCs/>
        </w:rPr>
        <w:t xml:space="preserve">MI, U.S.A.; </w:t>
      </w:r>
      <w:r w:rsidR="006001FE">
        <w:rPr>
          <w:bCs/>
          <w:vertAlign w:val="superscript"/>
        </w:rPr>
        <w:t>4</w:t>
      </w:r>
      <w:r w:rsidRPr="008B2856">
        <w:rPr>
          <w:bCs/>
        </w:rPr>
        <w:t xml:space="preserve">Department of Neurology, Epidemiology and Biostatistics, University of California San Francisco, San Francisco, </w:t>
      </w:r>
      <w:r>
        <w:rPr>
          <w:bCs/>
        </w:rPr>
        <w:t xml:space="preserve">CA, U.S.A.; </w:t>
      </w:r>
      <w:r w:rsidR="006001FE">
        <w:rPr>
          <w:bCs/>
          <w:vertAlign w:val="superscript"/>
        </w:rPr>
        <w:t>5</w:t>
      </w:r>
      <w:r w:rsidRPr="004A236A">
        <w:rPr>
          <w:bCs/>
        </w:rPr>
        <w:t>Division of Infection and Immunity, Department of Dermatology &amp; Academic Wound Healing, Cardiff University, Cardif</w:t>
      </w:r>
      <w:r>
        <w:rPr>
          <w:bCs/>
        </w:rPr>
        <w:t>f</w:t>
      </w:r>
      <w:r w:rsidRPr="004A236A">
        <w:rPr>
          <w:bCs/>
        </w:rPr>
        <w:t xml:space="preserve">, </w:t>
      </w:r>
      <w:r>
        <w:rPr>
          <w:bCs/>
        </w:rPr>
        <w:t xml:space="preserve">U.K.; </w:t>
      </w:r>
      <w:r w:rsidR="006001FE">
        <w:rPr>
          <w:bCs/>
          <w:vertAlign w:val="superscript"/>
        </w:rPr>
        <w:t>6</w:t>
      </w:r>
      <w:r w:rsidRPr="004A236A">
        <w:rPr>
          <w:bCs/>
        </w:rPr>
        <w:t xml:space="preserve">The Rockefeller University, New York, </w:t>
      </w:r>
      <w:r>
        <w:rPr>
          <w:bCs/>
        </w:rPr>
        <w:t xml:space="preserve">NY, U.S.A; </w:t>
      </w:r>
      <w:r w:rsidR="006001FE">
        <w:rPr>
          <w:bCs/>
          <w:vertAlign w:val="superscript"/>
        </w:rPr>
        <w:t>7</w:t>
      </w:r>
      <w:r w:rsidRPr="004A236A">
        <w:rPr>
          <w:bCs/>
        </w:rPr>
        <w:t xml:space="preserve">Dermatology Unit, Fondazione IRCCS Ca’ </w:t>
      </w:r>
      <w:proofErr w:type="spellStart"/>
      <w:r w:rsidRPr="004A236A">
        <w:rPr>
          <w:bCs/>
        </w:rPr>
        <w:t>Granda</w:t>
      </w:r>
      <w:proofErr w:type="spellEnd"/>
      <w:r w:rsidRPr="004A236A">
        <w:rPr>
          <w:bCs/>
        </w:rPr>
        <w:t xml:space="preserve"> </w:t>
      </w:r>
      <w:proofErr w:type="spellStart"/>
      <w:r w:rsidRPr="004A236A">
        <w:rPr>
          <w:bCs/>
        </w:rPr>
        <w:t>Ospedale</w:t>
      </w:r>
      <w:proofErr w:type="spellEnd"/>
      <w:r w:rsidRPr="004A236A">
        <w:rPr>
          <w:bCs/>
        </w:rPr>
        <w:t xml:space="preserve"> Maggiore </w:t>
      </w:r>
      <w:proofErr w:type="spellStart"/>
      <w:r w:rsidRPr="004A236A">
        <w:rPr>
          <w:bCs/>
        </w:rPr>
        <w:t>Policlinico</w:t>
      </w:r>
      <w:proofErr w:type="spellEnd"/>
      <w:r w:rsidRPr="004A236A">
        <w:rPr>
          <w:bCs/>
        </w:rPr>
        <w:t xml:space="preserve">, Milan, </w:t>
      </w:r>
      <w:r>
        <w:rPr>
          <w:bCs/>
        </w:rPr>
        <w:t xml:space="preserve">Italy.; </w:t>
      </w:r>
      <w:r w:rsidR="006001FE">
        <w:rPr>
          <w:bCs/>
          <w:vertAlign w:val="superscript"/>
        </w:rPr>
        <w:t>8</w:t>
      </w:r>
      <w:r w:rsidRPr="004A236A">
        <w:rPr>
          <w:bCs/>
        </w:rPr>
        <w:t xml:space="preserve">Department of Pathophysiology and Transplantation, </w:t>
      </w:r>
      <w:proofErr w:type="spellStart"/>
      <w:r w:rsidRPr="004A236A">
        <w:rPr>
          <w:bCs/>
        </w:rPr>
        <w:t>Università</w:t>
      </w:r>
      <w:proofErr w:type="spellEnd"/>
      <w:r w:rsidRPr="004A236A">
        <w:rPr>
          <w:bCs/>
        </w:rPr>
        <w:t xml:space="preserve"> </w:t>
      </w:r>
      <w:proofErr w:type="spellStart"/>
      <w:r w:rsidRPr="004A236A">
        <w:rPr>
          <w:bCs/>
        </w:rPr>
        <w:t>degli</w:t>
      </w:r>
      <w:proofErr w:type="spellEnd"/>
      <w:r w:rsidRPr="004A236A">
        <w:rPr>
          <w:bCs/>
        </w:rPr>
        <w:t xml:space="preserve"> </w:t>
      </w:r>
      <w:proofErr w:type="spellStart"/>
      <w:r w:rsidRPr="004A236A">
        <w:rPr>
          <w:bCs/>
        </w:rPr>
        <w:t>Studi</w:t>
      </w:r>
      <w:proofErr w:type="spellEnd"/>
      <w:r w:rsidRPr="004A236A">
        <w:rPr>
          <w:bCs/>
        </w:rPr>
        <w:t xml:space="preserve"> di Milano, Milan, </w:t>
      </w:r>
      <w:r>
        <w:rPr>
          <w:bCs/>
        </w:rPr>
        <w:t xml:space="preserve">Italy.; </w:t>
      </w:r>
      <w:r w:rsidR="006001FE">
        <w:rPr>
          <w:bCs/>
          <w:vertAlign w:val="superscript"/>
        </w:rPr>
        <w:t>9</w:t>
      </w:r>
      <w:r w:rsidRPr="004A236A">
        <w:rPr>
          <w:bCs/>
        </w:rPr>
        <w:t xml:space="preserve">Patientforeningen HS </w:t>
      </w:r>
      <w:proofErr w:type="spellStart"/>
      <w:r w:rsidRPr="004A236A">
        <w:rPr>
          <w:bCs/>
        </w:rPr>
        <w:t>Danmark</w:t>
      </w:r>
      <w:proofErr w:type="spellEnd"/>
      <w:r w:rsidRPr="004A236A">
        <w:rPr>
          <w:bCs/>
        </w:rPr>
        <w:t xml:space="preserve">, Copenhagen, </w:t>
      </w:r>
      <w:r>
        <w:rPr>
          <w:bCs/>
        </w:rPr>
        <w:t xml:space="preserve">Denmark; </w:t>
      </w:r>
      <w:r>
        <w:rPr>
          <w:bCs/>
          <w:vertAlign w:val="superscript"/>
        </w:rPr>
        <w:t>1</w:t>
      </w:r>
      <w:r w:rsidR="006001FE">
        <w:rPr>
          <w:bCs/>
          <w:vertAlign w:val="superscript"/>
        </w:rPr>
        <w:t>0</w:t>
      </w:r>
      <w:r w:rsidRPr="004A236A">
        <w:rPr>
          <w:bCs/>
        </w:rPr>
        <w:t xml:space="preserve">HS Warriors, Port Richey, </w:t>
      </w:r>
      <w:r>
        <w:rPr>
          <w:bCs/>
        </w:rPr>
        <w:t>FL, U.S.A.</w:t>
      </w:r>
    </w:p>
    <w:p w14:paraId="5DE9C7A2" w14:textId="77777777" w:rsidR="00967E90" w:rsidRPr="007477F0" w:rsidRDefault="00967E90" w:rsidP="0071641B">
      <w:pPr>
        <w:widowControl w:val="0"/>
        <w:autoSpaceDE w:val="0"/>
        <w:autoSpaceDN w:val="0"/>
        <w:adjustRightInd w:val="0"/>
      </w:pPr>
    </w:p>
    <w:p w14:paraId="55C27561" w14:textId="39FC07B7" w:rsidR="006A085A" w:rsidRDefault="00191877" w:rsidP="0071641B">
      <w:pPr>
        <w:widowControl w:val="0"/>
        <w:autoSpaceDE w:val="0"/>
        <w:autoSpaceDN w:val="0"/>
        <w:adjustRightInd w:val="0"/>
      </w:pPr>
      <w:r>
        <w:t xml:space="preserve">Short Title: </w:t>
      </w:r>
      <w:r w:rsidRPr="00191877">
        <w:t>Updated findings from the Global Hidradenitis Suppurativa COVID-19 Registry</w:t>
      </w:r>
    </w:p>
    <w:p w14:paraId="14C0BDB2" w14:textId="77777777" w:rsidR="0071641B" w:rsidRPr="00F45AB8" w:rsidRDefault="0071641B" w:rsidP="0071641B">
      <w:pPr>
        <w:widowControl w:val="0"/>
        <w:autoSpaceDE w:val="0"/>
        <w:autoSpaceDN w:val="0"/>
        <w:adjustRightInd w:val="0"/>
        <w:rPr>
          <w:b/>
          <w:bCs/>
          <w:i/>
          <w:iCs/>
        </w:rPr>
      </w:pPr>
    </w:p>
    <w:p w14:paraId="6C9C7B93" w14:textId="1BE5B0F5" w:rsidR="00967E90" w:rsidRPr="00191877" w:rsidRDefault="00967E90" w:rsidP="0071641B">
      <w:pPr>
        <w:widowControl w:val="0"/>
        <w:autoSpaceDE w:val="0"/>
        <w:autoSpaceDN w:val="0"/>
        <w:adjustRightInd w:val="0"/>
      </w:pPr>
      <w:r w:rsidRPr="00191877">
        <w:t>Correspond</w:t>
      </w:r>
      <w:r w:rsidR="00191877" w:rsidRPr="00191877">
        <w:t>ing Author</w:t>
      </w:r>
      <w:r w:rsidRPr="00191877">
        <w:t>:</w:t>
      </w:r>
    </w:p>
    <w:p w14:paraId="4A3D9B8E" w14:textId="77777777" w:rsidR="00967E90" w:rsidRPr="007477F0" w:rsidRDefault="00967E90" w:rsidP="0071641B">
      <w:pPr>
        <w:rPr>
          <w:color w:val="000000" w:themeColor="text1"/>
        </w:rPr>
      </w:pPr>
      <w:r w:rsidRPr="007477F0">
        <w:rPr>
          <w:rFonts w:eastAsia="Arial"/>
          <w:color w:val="000000" w:themeColor="text1"/>
        </w:rPr>
        <w:t xml:space="preserve">Haley B. Naik, MD, </w:t>
      </w:r>
      <w:proofErr w:type="spellStart"/>
      <w:r w:rsidRPr="007477F0">
        <w:rPr>
          <w:rFonts w:eastAsia="Arial"/>
          <w:color w:val="000000" w:themeColor="text1"/>
        </w:rPr>
        <w:t>MHSc</w:t>
      </w:r>
      <w:proofErr w:type="spellEnd"/>
    </w:p>
    <w:p w14:paraId="388578D1" w14:textId="6EEF1F75" w:rsidR="00967E90" w:rsidRPr="007477F0" w:rsidRDefault="00967E90" w:rsidP="0071641B">
      <w:pPr>
        <w:rPr>
          <w:rFonts w:eastAsia="Arial"/>
          <w:color w:val="000000" w:themeColor="text1"/>
        </w:rPr>
      </w:pPr>
      <w:r w:rsidRPr="007477F0">
        <w:rPr>
          <w:rFonts w:eastAsia="Arial"/>
          <w:color w:val="000000" w:themeColor="text1"/>
        </w:rPr>
        <w:t>Ass</w:t>
      </w:r>
      <w:r w:rsidR="00DC4607">
        <w:rPr>
          <w:rFonts w:eastAsia="Arial"/>
          <w:color w:val="000000" w:themeColor="text1"/>
        </w:rPr>
        <w:t>ociate</w:t>
      </w:r>
      <w:r w:rsidRPr="007477F0">
        <w:rPr>
          <w:rFonts w:eastAsia="Arial"/>
          <w:color w:val="000000" w:themeColor="text1"/>
        </w:rPr>
        <w:t xml:space="preserve"> Professor</w:t>
      </w:r>
      <w:r w:rsidR="00CD3ECE">
        <w:rPr>
          <w:rFonts w:eastAsia="Arial"/>
          <w:color w:val="000000" w:themeColor="text1"/>
        </w:rPr>
        <w:t xml:space="preserve"> </w:t>
      </w:r>
      <w:r w:rsidRPr="007477F0">
        <w:rPr>
          <w:rFonts w:eastAsia="Arial"/>
          <w:color w:val="000000" w:themeColor="text1"/>
        </w:rPr>
        <w:t>of Dermatology</w:t>
      </w:r>
    </w:p>
    <w:p w14:paraId="7378C8C8" w14:textId="77777777" w:rsidR="00967E90" w:rsidRPr="007477F0" w:rsidRDefault="00967E90" w:rsidP="0071641B">
      <w:pPr>
        <w:rPr>
          <w:rFonts w:eastAsia="Arial"/>
          <w:color w:val="000000" w:themeColor="text1"/>
        </w:rPr>
      </w:pPr>
      <w:r w:rsidRPr="007477F0">
        <w:rPr>
          <w:rFonts w:eastAsia="Arial"/>
          <w:color w:val="000000" w:themeColor="text1"/>
        </w:rPr>
        <w:t>University of California, San Francisco</w:t>
      </w:r>
    </w:p>
    <w:p w14:paraId="7BBB9F35" w14:textId="77777777" w:rsidR="00967E90" w:rsidRPr="007477F0" w:rsidRDefault="00967E90" w:rsidP="0071641B">
      <w:pPr>
        <w:rPr>
          <w:rFonts w:eastAsia="Arial"/>
          <w:color w:val="000000" w:themeColor="text1"/>
        </w:rPr>
      </w:pPr>
      <w:r w:rsidRPr="007477F0">
        <w:rPr>
          <w:rFonts w:eastAsia="Arial"/>
          <w:color w:val="000000" w:themeColor="text1"/>
        </w:rPr>
        <w:t>2340 Sutter Street, S429</w:t>
      </w:r>
    </w:p>
    <w:p w14:paraId="67D7AC83" w14:textId="77777777" w:rsidR="00967E90" w:rsidRPr="007477F0" w:rsidRDefault="00967E90" w:rsidP="0071641B">
      <w:pPr>
        <w:rPr>
          <w:rFonts w:eastAsia="Arial"/>
          <w:color w:val="000000" w:themeColor="text1"/>
        </w:rPr>
      </w:pPr>
      <w:r w:rsidRPr="007477F0">
        <w:rPr>
          <w:rFonts w:eastAsia="Arial"/>
          <w:color w:val="000000" w:themeColor="text1"/>
        </w:rPr>
        <w:t>San Francisco, CA 94143-0808 USA</w:t>
      </w:r>
    </w:p>
    <w:p w14:paraId="58020BF5" w14:textId="77777777" w:rsidR="00967E90" w:rsidRPr="007477F0" w:rsidRDefault="00967E90" w:rsidP="0071641B">
      <w:pPr>
        <w:rPr>
          <w:rFonts w:eastAsia="Arial"/>
          <w:color w:val="000000" w:themeColor="text1"/>
        </w:rPr>
      </w:pPr>
      <w:r w:rsidRPr="007477F0">
        <w:rPr>
          <w:rFonts w:eastAsia="Arial"/>
          <w:color w:val="000000" w:themeColor="text1"/>
        </w:rPr>
        <w:t>Mail Code 0808</w:t>
      </w:r>
    </w:p>
    <w:p w14:paraId="6191A532" w14:textId="77777777" w:rsidR="00967E90" w:rsidRPr="007477F0" w:rsidRDefault="00967E90" w:rsidP="0071641B">
      <w:pPr>
        <w:rPr>
          <w:rFonts w:eastAsia="Arial"/>
          <w:color w:val="000000" w:themeColor="text1"/>
        </w:rPr>
      </w:pPr>
      <w:r w:rsidRPr="007477F0">
        <w:rPr>
          <w:rFonts w:eastAsia="Arial"/>
          <w:color w:val="000000" w:themeColor="text1"/>
        </w:rPr>
        <w:t>Phone: +1 415 514 9769</w:t>
      </w:r>
    </w:p>
    <w:p w14:paraId="2B7B5E49" w14:textId="74719182" w:rsidR="00967E90" w:rsidRDefault="00967E90" w:rsidP="0071641B">
      <w:pPr>
        <w:rPr>
          <w:rFonts w:eastAsia="Arial"/>
          <w:color w:val="000000" w:themeColor="text1"/>
        </w:rPr>
      </w:pPr>
      <w:r w:rsidRPr="007477F0">
        <w:rPr>
          <w:rFonts w:eastAsia="Arial"/>
          <w:color w:val="000000" w:themeColor="text1"/>
        </w:rPr>
        <w:t xml:space="preserve">Email: </w:t>
      </w:r>
      <w:hyperlink r:id="rId8" w:history="1">
        <w:r w:rsidR="006A085A" w:rsidRPr="00AB73D6">
          <w:rPr>
            <w:rStyle w:val="Hyperlink"/>
            <w:rFonts w:eastAsia="Arial"/>
          </w:rPr>
          <w:t>haley.naik@ucsf.edu</w:t>
        </w:r>
      </w:hyperlink>
    </w:p>
    <w:p w14:paraId="0594201C" w14:textId="43E82236" w:rsidR="006A085A" w:rsidRDefault="006A085A" w:rsidP="0071641B">
      <w:pPr>
        <w:rPr>
          <w:rFonts w:eastAsia="Arial"/>
          <w:color w:val="000000" w:themeColor="text1"/>
        </w:rPr>
      </w:pPr>
    </w:p>
    <w:p w14:paraId="1C87387D" w14:textId="413A0159" w:rsidR="0031767F" w:rsidRDefault="006A085A" w:rsidP="0071641B">
      <w:pPr>
        <w:rPr>
          <w:rFonts w:eastAsia="Arial"/>
          <w:bCs/>
          <w:color w:val="000000" w:themeColor="text1"/>
        </w:rPr>
      </w:pPr>
      <w:r>
        <w:rPr>
          <w:rFonts w:eastAsia="Arial"/>
          <w:color w:val="000000" w:themeColor="text1"/>
        </w:rPr>
        <w:t xml:space="preserve">Key Message: </w:t>
      </w:r>
      <w:r w:rsidR="00FD16A4" w:rsidRPr="00FD16A4">
        <w:rPr>
          <w:rFonts w:eastAsia="Arial"/>
          <w:bCs/>
          <w:color w:val="000000" w:themeColor="text1"/>
        </w:rPr>
        <w:t>HS patients on biologics have similar COVID-19 outcomes to those on nonbiologic therapy.</w:t>
      </w:r>
    </w:p>
    <w:p w14:paraId="69528933" w14:textId="77777777" w:rsidR="0071641B" w:rsidRPr="00F45AB8" w:rsidRDefault="0071641B" w:rsidP="0071641B">
      <w:pPr>
        <w:rPr>
          <w:rFonts w:eastAsia="Arial"/>
          <w:color w:val="000000" w:themeColor="text1"/>
        </w:rPr>
      </w:pPr>
    </w:p>
    <w:p w14:paraId="5163149B" w14:textId="7D17810D" w:rsidR="00967E90" w:rsidRDefault="006A085A" w:rsidP="0071641B">
      <w:r w:rsidRPr="006A085A">
        <w:t xml:space="preserve">Number of </w:t>
      </w:r>
      <w:r w:rsidR="00967E90" w:rsidRPr="006A085A">
        <w:t>Tables:</w:t>
      </w:r>
      <w:r w:rsidR="00967E90" w:rsidRPr="007477F0">
        <w:t xml:space="preserve"> 1</w:t>
      </w:r>
    </w:p>
    <w:p w14:paraId="09BEBFD2" w14:textId="6A26714F" w:rsidR="006A085A" w:rsidRDefault="006A085A" w:rsidP="0071641B">
      <w:r>
        <w:t>Number of Figures: 0</w:t>
      </w:r>
    </w:p>
    <w:p w14:paraId="2A477598" w14:textId="448792E1" w:rsidR="006A085A" w:rsidRDefault="006A085A" w:rsidP="0071641B">
      <w:r w:rsidRPr="00F45AB8">
        <w:t xml:space="preserve">Word count: </w:t>
      </w:r>
      <w:r w:rsidR="00C67963" w:rsidRPr="00C67963">
        <w:t>918</w:t>
      </w:r>
    </w:p>
    <w:p w14:paraId="551EF437" w14:textId="77777777" w:rsidR="0071641B" w:rsidRPr="00F45AB8" w:rsidRDefault="0071641B" w:rsidP="0071641B"/>
    <w:p w14:paraId="7FB61B7C" w14:textId="678CF237" w:rsidR="00F75478" w:rsidRDefault="006A085A" w:rsidP="0071641B">
      <w:r w:rsidRPr="00E208FC">
        <w:t>Keywords:</w:t>
      </w:r>
      <w:r w:rsidR="002659AB">
        <w:t xml:space="preserve"> hidradenitis suppurativa; COVID-19</w:t>
      </w:r>
      <w:r w:rsidR="00F75478">
        <w:t>; biologic</w:t>
      </w:r>
    </w:p>
    <w:p w14:paraId="2EAA6106" w14:textId="77777777" w:rsidR="0071641B" w:rsidRDefault="0071641B" w:rsidP="00F42FBD">
      <w:pPr>
        <w:spacing w:line="360" w:lineRule="auto"/>
      </w:pPr>
    </w:p>
    <w:p w14:paraId="456580B2" w14:textId="77777777" w:rsidR="0071641B" w:rsidRDefault="0071641B" w:rsidP="00F42FBD">
      <w:pPr>
        <w:spacing w:line="360" w:lineRule="auto"/>
      </w:pPr>
    </w:p>
    <w:p w14:paraId="43660AF7" w14:textId="77777777" w:rsidR="0071641B" w:rsidRDefault="0071641B" w:rsidP="00F42FBD">
      <w:pPr>
        <w:spacing w:line="360" w:lineRule="auto"/>
      </w:pPr>
    </w:p>
    <w:p w14:paraId="19C75321" w14:textId="77777777" w:rsidR="0071641B" w:rsidRDefault="0071641B" w:rsidP="00F42FBD">
      <w:pPr>
        <w:spacing w:line="360" w:lineRule="auto"/>
      </w:pPr>
    </w:p>
    <w:p w14:paraId="60E10D81" w14:textId="77777777" w:rsidR="0071641B" w:rsidRDefault="0071641B" w:rsidP="00F42FBD">
      <w:pPr>
        <w:spacing w:line="360" w:lineRule="auto"/>
      </w:pPr>
    </w:p>
    <w:p w14:paraId="6CA1B453" w14:textId="77777777" w:rsidR="00DD0479" w:rsidRDefault="00DD0479" w:rsidP="00F42FBD">
      <w:pPr>
        <w:spacing w:line="360" w:lineRule="auto"/>
        <w:sectPr w:rsidR="00DD0479" w:rsidSect="00FC36FA">
          <w:pgSz w:w="11906" w:h="16838"/>
          <w:pgMar w:top="1440" w:right="1440" w:bottom="1440" w:left="1440" w:header="709" w:footer="709" w:gutter="0"/>
          <w:cols w:space="708"/>
          <w:docGrid w:linePitch="360"/>
        </w:sectPr>
      </w:pPr>
    </w:p>
    <w:p w14:paraId="5FB91C87" w14:textId="1F8BC2B7" w:rsidR="00460DE0" w:rsidRDefault="00741FAB" w:rsidP="00F42FBD">
      <w:pPr>
        <w:spacing w:line="360" w:lineRule="auto"/>
      </w:pPr>
      <w:r>
        <w:lastRenderedPageBreak/>
        <w:t xml:space="preserve">Dear Editor, </w:t>
      </w:r>
    </w:p>
    <w:p w14:paraId="083995DF" w14:textId="77777777" w:rsidR="00AE73DB" w:rsidRDefault="00AE73DB" w:rsidP="00F42FBD">
      <w:pPr>
        <w:spacing w:line="360" w:lineRule="auto"/>
      </w:pPr>
    </w:p>
    <w:p w14:paraId="505A30EB" w14:textId="43A072AF" w:rsidR="00732475" w:rsidRDefault="00E57B7B" w:rsidP="00F42FBD">
      <w:pPr>
        <w:spacing w:line="360" w:lineRule="auto"/>
      </w:pPr>
      <w:r>
        <w:t xml:space="preserve">As the COVID-19 pandemic persists, </w:t>
      </w:r>
      <w:r w:rsidR="009C40EB">
        <w:t>dermatologists</w:t>
      </w:r>
      <w:r w:rsidR="006F3726">
        <w:t xml:space="preserve"> </w:t>
      </w:r>
      <w:r w:rsidR="006D0DCD">
        <w:t>continue to</w:t>
      </w:r>
      <w:r w:rsidR="009C40EB">
        <w:t xml:space="preserve"> </w:t>
      </w:r>
      <w:r w:rsidR="00F75DF2">
        <w:t>balanc</w:t>
      </w:r>
      <w:r w:rsidR="006D0DCD">
        <w:t>e</w:t>
      </w:r>
      <w:r w:rsidR="00F75DF2">
        <w:t xml:space="preserve"> the desire to achieve effective </w:t>
      </w:r>
      <w:r w:rsidR="00FD2AA2">
        <w:t xml:space="preserve">hidradenitis suppurativa (HS) </w:t>
      </w:r>
      <w:r w:rsidR="00F75DF2">
        <w:t xml:space="preserve">control through biologic therapy </w:t>
      </w:r>
      <w:r w:rsidR="0007224A">
        <w:t>with the</w:t>
      </w:r>
      <w:r w:rsidR="006F3726">
        <w:t xml:space="preserve"> </w:t>
      </w:r>
      <w:r w:rsidR="00FD1280">
        <w:t xml:space="preserve">risk </w:t>
      </w:r>
      <w:r w:rsidR="006D0DCD">
        <w:t>it</w:t>
      </w:r>
      <w:r w:rsidR="006F3726">
        <w:t xml:space="preserve"> </w:t>
      </w:r>
      <w:r w:rsidR="00FD1280">
        <w:t>may pose</w:t>
      </w:r>
      <w:r w:rsidR="008F5C24">
        <w:t xml:space="preserve"> during active COVID-19 infection</w:t>
      </w:r>
      <w:r w:rsidR="00FD2AA2">
        <w:t xml:space="preserve"> in the context of </w:t>
      </w:r>
      <w:r w:rsidR="00A80B6F">
        <w:t>comorbidities associated with severe COVID-19 infection.</w:t>
      </w:r>
      <w:r w:rsidR="00A80B6F">
        <w:fldChar w:fldCharType="begin"/>
      </w:r>
      <w:r w:rsidR="00C36E45">
        <w:instrText xml:space="preserve"> ADDIN ZOTERO_ITEM CSL_CITATION {"citationID":"T3nWkH2z","properties":{"formattedCitation":"[1]","plainCitation":"[1]","noteIndex":0},"citationItems":[{"id":6756,"uris":["http://zotero.org/users/7657228/items/FAIGCNFT"],"itemData":{"id":6756,"type":"article-journal","container-title":"Journal of the American Academy of Dermatology","DOI":"10.1016/j.jaad.2021.09.016","ISSN":"0190-9622, 1097-6787","issue":"1","journalAbbreviation":"Journal of the American Academy of Dermatology","language":"English","note":"publisher: Elsevier\nPMID: 34537252","page":"249-252","source":"www.jaad.org","title":"Biologic therapy is not associated with increased COVID-19 severity in patients with hidradenitis suppurativa: Initial findings from the Global Hidradenitis Suppurativa COVID-19 Registry","title-short":"Biologic therapy is not associated with increased COVID-19 severity in patients with hidradenitis suppurativa","volume":"86","author":[{"family":"Naik","given":"Haley B."},{"family":"Alhusayen","given":"Raed"},{"family":"Frew","given":"John"},{"family":"Guilbault","given":"Sandra"},{"family":"Hills","given":"Nancy K."},{"family":"Ingram","given":"John R."},{"family":"Kudlinski","given":"Margaret V."},{"family":"Lowes","given":"Michelle A."},{"family":"Marzano","given":"Angelo Valerio"},{"family":"Paul","given":"Maia"},{"family":"Villumsen","given":"Bente"},{"family":"Yannuzzi","given":"Christine A."}],"issued":{"date-parts":[["2022",1,1]]}}}],"schema":"https://github.com/citation-style-language/schema/raw/master/csl-citation.json"} </w:instrText>
      </w:r>
      <w:r w:rsidR="00A80B6F">
        <w:fldChar w:fldCharType="separate"/>
      </w:r>
      <w:r w:rsidR="00C36E45">
        <w:t>[1]</w:t>
      </w:r>
      <w:r w:rsidR="00A80B6F">
        <w:fldChar w:fldCharType="end"/>
      </w:r>
      <w:r w:rsidR="00D422CC">
        <w:t xml:space="preserve"> This study </w:t>
      </w:r>
      <w:r w:rsidR="00143731">
        <w:t xml:space="preserve">expands upon </w:t>
      </w:r>
      <w:r w:rsidR="00FD2AA2">
        <w:t xml:space="preserve">previous </w:t>
      </w:r>
      <w:r w:rsidR="00143731">
        <w:t>findings</w:t>
      </w:r>
      <w:r w:rsidR="00FE2584">
        <w:fldChar w:fldCharType="begin"/>
      </w:r>
      <w:r w:rsidR="00C36E45">
        <w:instrText xml:space="preserve"> ADDIN ZOTERO_ITEM CSL_CITATION {"citationID":"qozT7Lxx","properties":{"formattedCitation":"[1]","plainCitation":"[1]","noteIndex":0},"citationItems":[{"id":6756,"uris":["http://zotero.org/users/7657228/items/FAIGCNFT"],"itemData":{"id":6756,"type":"article-journal","container-title":"Journal of the American Academy of Dermatology","DOI":"10.1016/j.jaad.2021.09.016","ISSN":"0190-9622, 1097-6787","issue":"1","journalAbbreviation":"Journal of the American Academy of Dermatology","language":"English","note":"publisher: Elsevier\nPMID: 34537252","page":"249-252","source":"www.jaad.org","title":"Biologic therapy is not associated with increased COVID-19 severity in patients with hidradenitis suppurativa: Initial findings from the Global Hidradenitis Suppurativa COVID-19 Registry","title-short":"Biologic therapy is not associated with increased COVID-19 severity in patients with hidradenitis suppurativa","volume":"86","author":[{"family":"Naik","given":"Haley B."},{"family":"Alhusayen","given":"Raed"},{"family":"Frew","given":"John"},{"family":"Guilbault","given":"Sandra"},{"family":"Hills","given":"Nancy K."},{"family":"Ingram","given":"John R."},{"family":"Kudlinski","given":"Margaret V."},{"family":"Lowes","given":"Michelle A."},{"family":"Marzano","given":"Angelo Valerio"},{"family":"Paul","given":"Maia"},{"family":"Villumsen","given":"Bente"},{"family":"Yannuzzi","given":"Christine A."}],"issued":{"date-parts":[["2022",1,1]]}}}],"schema":"https://github.com/citation-style-language/schema/raw/master/csl-citation.json"} </w:instrText>
      </w:r>
      <w:r w:rsidR="00FE2584">
        <w:fldChar w:fldCharType="separate"/>
      </w:r>
      <w:r w:rsidR="00C36E45">
        <w:t>[1]</w:t>
      </w:r>
      <w:r w:rsidR="00FE2584">
        <w:fldChar w:fldCharType="end"/>
      </w:r>
      <w:r w:rsidR="00FE2584">
        <w:t xml:space="preserve"> </w:t>
      </w:r>
      <w:r w:rsidR="00143731">
        <w:t xml:space="preserve">with </w:t>
      </w:r>
      <w:r w:rsidR="00A969DE">
        <w:t xml:space="preserve">188 </w:t>
      </w:r>
      <w:r w:rsidR="0054604C">
        <w:t xml:space="preserve">additional </w:t>
      </w:r>
      <w:r w:rsidR="00143731">
        <w:t>cases reported</w:t>
      </w:r>
      <w:r w:rsidR="00492704">
        <w:t xml:space="preserve"> over 10 more months</w:t>
      </w:r>
      <w:r w:rsidR="00143731">
        <w:t xml:space="preserve"> to the </w:t>
      </w:r>
      <w:r w:rsidR="00FD2AA2">
        <w:t xml:space="preserve">Global </w:t>
      </w:r>
      <w:r w:rsidR="00FD2AA2" w:rsidRPr="00D422CC">
        <w:t xml:space="preserve">Hidradenitis Suppurativa COVID-19 Registry </w:t>
      </w:r>
      <w:r w:rsidR="00143731">
        <w:t xml:space="preserve">from </w:t>
      </w:r>
      <w:r w:rsidR="003A4906" w:rsidRPr="00143731">
        <w:t xml:space="preserve">April 5, 2020 to </w:t>
      </w:r>
      <w:r w:rsidR="00376B4B" w:rsidRPr="00143731">
        <w:t xml:space="preserve">December </w:t>
      </w:r>
      <w:r w:rsidR="00AD352B">
        <w:t>9</w:t>
      </w:r>
      <w:r w:rsidR="00376B4B" w:rsidRPr="00143731">
        <w:t>, 2021</w:t>
      </w:r>
      <w:r w:rsidR="00143731">
        <w:t xml:space="preserve">. </w:t>
      </w:r>
      <w:r w:rsidR="00F55804">
        <w:t xml:space="preserve">Registry entries were submitted by health care providers (HCPs) and patients (or their caregivers, in the case of </w:t>
      </w:r>
      <w:r w:rsidR="00F55804" w:rsidRPr="00F55804">
        <w:t>children or those too ill or without capacity to complete the survey</w:t>
      </w:r>
      <w:r w:rsidR="00F55804">
        <w:t xml:space="preserve">). </w:t>
      </w:r>
      <w:r w:rsidR="00FD2AA2">
        <w:t>E</w:t>
      </w:r>
      <w:r w:rsidR="006B4978">
        <w:t xml:space="preserve">ligible </w:t>
      </w:r>
      <w:r w:rsidR="00FD2AA2">
        <w:t xml:space="preserve">cases </w:t>
      </w:r>
      <w:r w:rsidR="006B4978">
        <w:t>had 1) a</w:t>
      </w:r>
      <w:r w:rsidR="00F55804">
        <w:t xml:space="preserve">n </w:t>
      </w:r>
      <w:r w:rsidR="001A7265">
        <w:t>HCP</w:t>
      </w:r>
      <w:r w:rsidR="006B4978">
        <w:t>-confirmed diagnosis of HS and 2) a</w:t>
      </w:r>
      <w:r w:rsidR="00F27915">
        <w:t xml:space="preserve">n HCP-confirmed </w:t>
      </w:r>
      <w:r w:rsidR="00C06DE6">
        <w:t>diagnosis of COVID-19 based on a positive test or symptom screening questions</w:t>
      </w:r>
      <w:r w:rsidR="00DA7E86">
        <w:t xml:space="preserve">. </w:t>
      </w:r>
      <w:r w:rsidR="00B03903">
        <w:t>Da</w:t>
      </w:r>
      <w:r w:rsidR="0057703A">
        <w:t xml:space="preserve">ta were compared based on </w:t>
      </w:r>
      <w:r w:rsidR="00840BED">
        <w:t xml:space="preserve">the </w:t>
      </w:r>
      <w:r w:rsidR="0057703A">
        <w:t xml:space="preserve">type of HS treatment </w:t>
      </w:r>
      <w:r w:rsidR="00840BED">
        <w:t xml:space="preserve">used prior to COVID-19 diagnosis: biologic vs nonbiologic. </w:t>
      </w:r>
      <w:r w:rsidR="008D7839">
        <w:t xml:space="preserve">Nonbiologic treatments included </w:t>
      </w:r>
      <w:r w:rsidR="00313B9A">
        <w:t>systemic antibiotics, anti-androgenic agents</w:t>
      </w:r>
      <w:r w:rsidR="000D505E">
        <w:t xml:space="preserve">, and disease-modifying anti-rheumatic drugs. </w:t>
      </w:r>
      <w:r w:rsidR="00B03903">
        <w:t>Additionally, d</w:t>
      </w:r>
      <w:r w:rsidR="00F34399">
        <w:t xml:space="preserve">ata from patients who continued biologic therapy through their COVID-19 diagnosis were compared to those who discontinued biologic therapy </w:t>
      </w:r>
      <w:r w:rsidR="0057703A">
        <w:t xml:space="preserve">upon </w:t>
      </w:r>
      <w:r w:rsidR="00F34399">
        <w:t xml:space="preserve">their COVID-19 diagnosis. </w:t>
      </w:r>
      <w:r w:rsidR="00B03903">
        <w:t xml:space="preserve">Statistical </w:t>
      </w:r>
      <w:r w:rsidR="00DA7E86">
        <w:t>compar</w:t>
      </w:r>
      <w:r w:rsidR="007D504B">
        <w:t>isons were performed</w:t>
      </w:r>
      <w:r w:rsidR="00DA7E86">
        <w:t xml:space="preserve"> using </w:t>
      </w:r>
      <w:r w:rsidR="00376B4B">
        <w:t>Fisher’s exact</w:t>
      </w:r>
      <w:r w:rsidR="00DA7E86">
        <w:t xml:space="preserve"> or </w:t>
      </w:r>
      <w:r w:rsidR="00376B4B">
        <w:t xml:space="preserve">Pearson </w:t>
      </w:r>
      <w:r w:rsidR="00376B4B" w:rsidRPr="00DA7E86">
        <w:t>χ</w:t>
      </w:r>
      <w:r w:rsidR="00376B4B" w:rsidRPr="00DA7E86">
        <w:rPr>
          <w:vertAlign w:val="superscript"/>
        </w:rPr>
        <w:t>2</w:t>
      </w:r>
      <w:r w:rsidR="00376B4B" w:rsidRPr="00DA7E86">
        <w:t> test</w:t>
      </w:r>
      <w:r w:rsidR="00DA7E86">
        <w:t>s</w:t>
      </w:r>
      <w:r w:rsidR="00F354A0">
        <w:t>. M</w:t>
      </w:r>
      <w:r w:rsidR="00376B4B" w:rsidRPr="00F354A0">
        <w:t>ult</w:t>
      </w:r>
      <w:r w:rsidR="00BF45A3" w:rsidRPr="00F354A0">
        <w:t>i</w:t>
      </w:r>
      <w:r w:rsidR="00FD2AA2">
        <w:t>variable</w:t>
      </w:r>
      <w:r w:rsidR="00376B4B" w:rsidRPr="00F354A0">
        <w:t xml:space="preserve"> logistic </w:t>
      </w:r>
      <w:r w:rsidR="00BF45A3" w:rsidRPr="00F354A0">
        <w:t xml:space="preserve">regression </w:t>
      </w:r>
      <w:r w:rsidR="00FD2AA2">
        <w:t xml:space="preserve">adjusted for </w:t>
      </w:r>
      <w:r w:rsidR="00FD2AA2" w:rsidRPr="0087691C">
        <w:t xml:space="preserve">age, sex, </w:t>
      </w:r>
      <w:r w:rsidR="00FD2AA2">
        <w:t>cardiovascular</w:t>
      </w:r>
      <w:r w:rsidR="00FD2AA2" w:rsidRPr="0087691C">
        <w:t xml:space="preserve"> disease, </w:t>
      </w:r>
      <w:r w:rsidR="00FD2AA2">
        <w:t>pulmonary disease</w:t>
      </w:r>
      <w:r w:rsidR="00FD2AA2" w:rsidRPr="0087691C">
        <w:t xml:space="preserve">, </w:t>
      </w:r>
      <w:r w:rsidR="00FD2AA2">
        <w:t>diabetes</w:t>
      </w:r>
      <w:r w:rsidR="00FD2AA2" w:rsidRPr="0087691C">
        <w:t>, obes</w:t>
      </w:r>
      <w:r w:rsidR="00FD2AA2">
        <w:t>ity</w:t>
      </w:r>
      <w:r w:rsidR="00FD2AA2" w:rsidRPr="0087691C">
        <w:t xml:space="preserve">, </w:t>
      </w:r>
      <w:r w:rsidR="00FD2AA2">
        <w:t xml:space="preserve">and tobacco smoking </w:t>
      </w:r>
      <w:r w:rsidR="00F354A0">
        <w:t xml:space="preserve">was used to determine </w:t>
      </w:r>
      <w:r w:rsidR="00CE7A9C">
        <w:t>whether</w:t>
      </w:r>
      <w:r w:rsidR="00F354A0">
        <w:t xml:space="preserve"> biologic use </w:t>
      </w:r>
      <w:r w:rsidR="00BF45A3" w:rsidRPr="00F354A0">
        <w:t>predict</w:t>
      </w:r>
      <w:r w:rsidR="00CE7A9C">
        <w:t>ed</w:t>
      </w:r>
      <w:r w:rsidR="00F354A0">
        <w:t xml:space="preserve"> COVID-19</w:t>
      </w:r>
      <w:r w:rsidR="00BF45A3" w:rsidRPr="00F354A0">
        <w:t xml:space="preserve"> outcomes</w:t>
      </w:r>
      <w:r w:rsidR="00FD2AA2">
        <w:t>.</w:t>
      </w:r>
    </w:p>
    <w:p w14:paraId="18EC5654" w14:textId="77777777" w:rsidR="00732475" w:rsidRDefault="00732475" w:rsidP="00F42FBD">
      <w:pPr>
        <w:spacing w:line="360" w:lineRule="auto"/>
      </w:pPr>
    </w:p>
    <w:p w14:paraId="08745709" w14:textId="77777777" w:rsidR="00C51993" w:rsidRDefault="00EC799D" w:rsidP="00F42FBD">
      <w:pPr>
        <w:spacing w:line="360" w:lineRule="auto"/>
      </w:pPr>
      <w:r>
        <w:t>311</w:t>
      </w:r>
      <w:r w:rsidR="00FF656B">
        <w:t xml:space="preserve"> self-reported and </w:t>
      </w:r>
      <w:r>
        <w:t>113</w:t>
      </w:r>
      <w:r w:rsidR="00FF656B">
        <w:t xml:space="preserve"> HCP-reported cases</w:t>
      </w:r>
      <w:r w:rsidR="002C47E3">
        <w:t xml:space="preserve"> </w:t>
      </w:r>
      <w:r w:rsidR="005F42F9">
        <w:t xml:space="preserve">were submitted to the </w:t>
      </w:r>
      <w:r w:rsidR="009F044C">
        <w:t>registry</w:t>
      </w:r>
      <w:r w:rsidR="00697E0E">
        <w:t xml:space="preserve">. </w:t>
      </w:r>
      <w:r>
        <w:t xml:space="preserve">Of the self-reported cases, we excluded </w:t>
      </w:r>
      <w:r w:rsidR="00FD2AA2">
        <w:t>58</w:t>
      </w:r>
      <w:r w:rsidRPr="00EC799D">
        <w:t xml:space="preserve"> without </w:t>
      </w:r>
      <w:r w:rsidR="00FD2AA2">
        <w:t xml:space="preserve">confirmed </w:t>
      </w:r>
      <w:r w:rsidRPr="00EC799D">
        <w:t>COVID</w:t>
      </w:r>
      <w:r w:rsidR="00E07FE5">
        <w:t>-</w:t>
      </w:r>
      <w:r w:rsidRPr="00EC799D">
        <w:t>19 diagnosis and 6 without an HS diagnosis</w:t>
      </w:r>
      <w:r w:rsidR="00732475">
        <w:t>.</w:t>
      </w:r>
      <w:r w:rsidRPr="00EC799D">
        <w:t xml:space="preserve"> We excluded 48 incomplete HCP-reported cases.</w:t>
      </w:r>
      <w:r>
        <w:rPr>
          <w:b/>
          <w:bCs/>
        </w:rPr>
        <w:t xml:space="preserve"> </w:t>
      </w:r>
      <w:r w:rsidR="00321594">
        <w:t>240 self-reported (median age: 33.5 years, IQR</w:t>
      </w:r>
      <w:r w:rsidR="007C616C">
        <w:t xml:space="preserve">: </w:t>
      </w:r>
      <w:r w:rsidR="00321594">
        <w:t>27-42</w:t>
      </w:r>
      <w:r w:rsidR="007C616C">
        <w:t xml:space="preserve"> years</w:t>
      </w:r>
      <w:r w:rsidR="00321594">
        <w:t xml:space="preserve">, range: </w:t>
      </w:r>
      <w:r w:rsidR="007C616C">
        <w:t xml:space="preserve">13-72 years) </w:t>
      </w:r>
      <w:r w:rsidR="00321594">
        <w:t xml:space="preserve">and 65/113 HCP-reported </w:t>
      </w:r>
      <w:r w:rsidR="007C616C">
        <w:t>(median age: 33</w:t>
      </w:r>
      <w:r w:rsidR="005F42F9">
        <w:t xml:space="preserve"> </w:t>
      </w:r>
      <w:r w:rsidR="007C616C">
        <w:t>years, IQR: 27-42 years, range: 1</w:t>
      </w:r>
      <w:r w:rsidR="005F42F9">
        <w:t>6</w:t>
      </w:r>
      <w:r w:rsidR="007C616C">
        <w:t>-</w:t>
      </w:r>
      <w:r w:rsidR="005F42F9">
        <w:t>65</w:t>
      </w:r>
      <w:r w:rsidR="007C616C">
        <w:t xml:space="preserve"> years) </w:t>
      </w:r>
      <w:r w:rsidR="005F42F9">
        <w:t>were included in the study</w:t>
      </w:r>
      <w:r w:rsidR="00321594">
        <w:t xml:space="preserve">. </w:t>
      </w:r>
      <w:r w:rsidR="00207763">
        <w:t>Additional p</w:t>
      </w:r>
      <w:r w:rsidR="00697E0E">
        <w:t xml:space="preserve">atient characteristics are </w:t>
      </w:r>
      <w:r w:rsidR="00CE5705">
        <w:t>described</w:t>
      </w:r>
      <w:r w:rsidR="00697E0E">
        <w:t xml:space="preserve"> in </w:t>
      </w:r>
      <w:r w:rsidR="00697E0E" w:rsidRPr="00DD2ABC">
        <w:rPr>
          <w:b/>
          <w:bCs/>
        </w:rPr>
        <w:t>Table 1</w:t>
      </w:r>
      <w:r w:rsidR="00697E0E">
        <w:t xml:space="preserve">. </w:t>
      </w:r>
      <w:r w:rsidR="00A05046">
        <w:t>Tumor necrosis factor</w:t>
      </w:r>
      <w:r w:rsidR="003A5482">
        <w:t>-</w:t>
      </w:r>
      <w:r w:rsidR="00A05046">
        <w:t xml:space="preserve">inhibitors </w:t>
      </w:r>
      <w:r w:rsidR="00FD2AA2">
        <w:t xml:space="preserve">were </w:t>
      </w:r>
      <w:r w:rsidR="00A05046">
        <w:t>the most frequently reported biologic</w:t>
      </w:r>
      <w:r w:rsidR="00180939">
        <w:t xml:space="preserve"> (</w:t>
      </w:r>
      <w:r w:rsidR="002E310A">
        <w:t xml:space="preserve">self-reported: </w:t>
      </w:r>
      <w:r w:rsidR="002F7367" w:rsidRPr="001F363B">
        <w:t>33</w:t>
      </w:r>
      <w:r w:rsidR="001F363B" w:rsidRPr="001F363B">
        <w:t>/35</w:t>
      </w:r>
      <w:r w:rsidR="002E310A" w:rsidRPr="001F363B">
        <w:t xml:space="preserve">, </w:t>
      </w:r>
      <w:r w:rsidR="001F363B" w:rsidRPr="001F363B">
        <w:t>94.29</w:t>
      </w:r>
      <w:r w:rsidR="002E310A" w:rsidRPr="001F363B">
        <w:t>%;</w:t>
      </w:r>
      <w:r w:rsidR="002E310A">
        <w:t xml:space="preserve"> HCP-reported: 31</w:t>
      </w:r>
      <w:r w:rsidR="002A6B39">
        <w:t>/36</w:t>
      </w:r>
      <w:r w:rsidR="002E310A">
        <w:t>, 86.1</w:t>
      </w:r>
      <w:r w:rsidR="002A6B39">
        <w:t>1</w:t>
      </w:r>
      <w:r w:rsidR="002E310A">
        <w:t xml:space="preserve">%). </w:t>
      </w:r>
      <w:r w:rsidR="000D505E">
        <w:t>Systemic antibiotics were the most frequently reported nonbiologic (self-reported:</w:t>
      </w:r>
      <w:r w:rsidR="00424504">
        <w:t xml:space="preserve"> </w:t>
      </w:r>
      <w:r w:rsidR="00601BD8">
        <w:t>34.1%</w:t>
      </w:r>
      <w:r w:rsidR="00E51693">
        <w:t xml:space="preserve"> </w:t>
      </w:r>
      <w:r w:rsidR="009B4710">
        <w:t>(70/205)</w:t>
      </w:r>
      <w:r w:rsidR="0024738B">
        <w:t xml:space="preserve">; HCP-reported: </w:t>
      </w:r>
      <w:r w:rsidR="009A3545">
        <w:t>79.3%</w:t>
      </w:r>
      <w:r w:rsidR="00E51693">
        <w:t xml:space="preserve"> </w:t>
      </w:r>
      <w:r w:rsidR="009B4710">
        <w:t>(23/29</w:t>
      </w:r>
      <w:r w:rsidR="0024738B">
        <w:t>)</w:t>
      </w:r>
      <w:r w:rsidR="00410F47">
        <w:t>)</w:t>
      </w:r>
      <w:r w:rsidR="0024738B">
        <w:t>.</w:t>
      </w:r>
      <w:r w:rsidR="00C51993">
        <w:t xml:space="preserve"> </w:t>
      </w:r>
    </w:p>
    <w:p w14:paraId="2D58385B" w14:textId="77777777" w:rsidR="00C51993" w:rsidRDefault="00C51993" w:rsidP="00F42FBD">
      <w:pPr>
        <w:spacing w:line="360" w:lineRule="auto"/>
      </w:pPr>
    </w:p>
    <w:p w14:paraId="7C9E3B9F" w14:textId="59D649F1" w:rsidR="00EC021A" w:rsidRDefault="00FD2AA2" w:rsidP="00F42FBD">
      <w:pPr>
        <w:spacing w:line="360" w:lineRule="auto"/>
      </w:pPr>
      <w:r>
        <w:t>Among</w:t>
      </w:r>
      <w:r w:rsidR="0028778D">
        <w:t xml:space="preserve"> self-reported cases, </w:t>
      </w:r>
      <w:r>
        <w:t>there was no difference in odds of hospitalization (biologic:</w:t>
      </w:r>
      <w:r w:rsidR="00134763">
        <w:t xml:space="preserve"> 22.86% (</w:t>
      </w:r>
      <w:r>
        <w:t>8/35</w:t>
      </w:r>
      <w:r w:rsidR="00134763">
        <w:t>)</w:t>
      </w:r>
      <w:r>
        <w:t xml:space="preserve">; nonbiologic: </w:t>
      </w:r>
      <w:r w:rsidR="00134763">
        <w:t>17.56% (</w:t>
      </w:r>
      <w:r>
        <w:t>36/205</w:t>
      </w:r>
      <w:r w:rsidR="00134763">
        <w:t>)</w:t>
      </w:r>
      <w:r>
        <w:t>, adjusted odds ratio (</w:t>
      </w:r>
      <w:proofErr w:type="spellStart"/>
      <w:r w:rsidR="000833A7">
        <w:t>a</w:t>
      </w:r>
      <w:r>
        <w:t>OR</w:t>
      </w:r>
      <w:proofErr w:type="spellEnd"/>
      <w:r>
        <w:t xml:space="preserve">) </w:t>
      </w:r>
      <w:r w:rsidRPr="00074ABB">
        <w:t>0.93</w:t>
      </w:r>
      <w:r>
        <w:t>, 95% CI 0.36-</w:t>
      </w:r>
      <w:r>
        <w:lastRenderedPageBreak/>
        <w:t xml:space="preserve">2.40, </w:t>
      </w:r>
      <w:r w:rsidRPr="00E70765">
        <w:rPr>
          <w:i/>
          <w:iCs/>
        </w:rPr>
        <w:t>P</w:t>
      </w:r>
      <w:r>
        <w:t xml:space="preserve">=0.89) </w:t>
      </w:r>
      <w:r w:rsidR="00831A32">
        <w:t xml:space="preserve">or </w:t>
      </w:r>
      <w:r w:rsidR="009B2F29">
        <w:t>required respiratory support</w:t>
      </w:r>
      <w:r w:rsidR="00DD6C58">
        <w:t xml:space="preserve"> </w:t>
      </w:r>
      <w:r w:rsidR="00F957E9">
        <w:t>(</w:t>
      </w:r>
      <w:r w:rsidR="00F957E9" w:rsidRPr="00E70765">
        <w:rPr>
          <w:lang w:val="en-GB"/>
        </w:rPr>
        <w:t xml:space="preserve">biologic: </w:t>
      </w:r>
      <w:r w:rsidR="00134763" w:rsidRPr="00E70765">
        <w:rPr>
          <w:lang w:val="en-GB"/>
        </w:rPr>
        <w:t>31.4</w:t>
      </w:r>
      <w:r w:rsidR="00134763">
        <w:rPr>
          <w:lang w:val="en-GB"/>
        </w:rPr>
        <w:t>3</w:t>
      </w:r>
      <w:r w:rsidR="00134763" w:rsidRPr="00E70765">
        <w:rPr>
          <w:lang w:val="en-GB"/>
        </w:rPr>
        <w:t>%</w:t>
      </w:r>
      <w:r w:rsidR="00134763">
        <w:rPr>
          <w:lang w:val="en-GB"/>
        </w:rPr>
        <w:t xml:space="preserve"> (</w:t>
      </w:r>
      <w:r w:rsidR="00F957E9" w:rsidRPr="00E70765">
        <w:rPr>
          <w:lang w:val="en-GB"/>
        </w:rPr>
        <w:t>11/35</w:t>
      </w:r>
      <w:r w:rsidR="00F957E9">
        <w:rPr>
          <w:lang w:val="en-GB"/>
        </w:rPr>
        <w:t>);</w:t>
      </w:r>
      <w:r w:rsidR="00F957E9" w:rsidRPr="00E70765">
        <w:rPr>
          <w:lang w:val="en-GB"/>
        </w:rPr>
        <w:t xml:space="preserve"> nonbiologic: </w:t>
      </w:r>
      <w:r w:rsidR="00134763" w:rsidRPr="00E70765">
        <w:rPr>
          <w:lang w:val="en-GB"/>
        </w:rPr>
        <w:t>24.</w:t>
      </w:r>
      <w:r w:rsidR="00134763">
        <w:rPr>
          <w:lang w:val="en-GB"/>
        </w:rPr>
        <w:t>88</w:t>
      </w:r>
      <w:r w:rsidR="00134763" w:rsidRPr="00E70765">
        <w:rPr>
          <w:lang w:val="en-GB"/>
        </w:rPr>
        <w:t>%</w:t>
      </w:r>
      <w:r w:rsidR="00134763">
        <w:rPr>
          <w:lang w:val="en-GB"/>
        </w:rPr>
        <w:t xml:space="preserve"> (</w:t>
      </w:r>
      <w:r w:rsidR="00F957E9" w:rsidRPr="00E70765">
        <w:rPr>
          <w:lang w:val="en-GB"/>
        </w:rPr>
        <w:t>51/205</w:t>
      </w:r>
      <w:r w:rsidR="00F957E9">
        <w:rPr>
          <w:lang w:val="en-GB"/>
        </w:rPr>
        <w:t xml:space="preserve">), </w:t>
      </w:r>
      <w:proofErr w:type="spellStart"/>
      <w:r w:rsidR="00F957E9">
        <w:rPr>
          <w:lang w:val="en-GB"/>
        </w:rPr>
        <w:t>aOR</w:t>
      </w:r>
      <w:proofErr w:type="spellEnd"/>
      <w:r w:rsidR="00F957E9">
        <w:rPr>
          <w:lang w:val="en-GB"/>
        </w:rPr>
        <w:t xml:space="preserve"> </w:t>
      </w:r>
      <w:r w:rsidR="00426DB2">
        <w:rPr>
          <w:lang w:val="en-GB"/>
        </w:rPr>
        <w:t>0.99</w:t>
      </w:r>
      <w:r w:rsidR="006D6D5D">
        <w:rPr>
          <w:lang w:val="en-GB"/>
        </w:rPr>
        <w:t>,</w:t>
      </w:r>
      <w:r w:rsidR="007534A1">
        <w:rPr>
          <w:lang w:val="en-GB"/>
        </w:rPr>
        <w:t xml:space="preserve"> </w:t>
      </w:r>
      <w:r w:rsidR="00F968AE">
        <w:t>95% CI 0.42-2.</w:t>
      </w:r>
      <w:r w:rsidR="002C6CC3">
        <w:t>29</w:t>
      </w:r>
      <w:r w:rsidR="00F968AE">
        <w:t xml:space="preserve">, </w:t>
      </w:r>
      <w:r w:rsidR="007534A1" w:rsidRPr="00E70765">
        <w:rPr>
          <w:i/>
          <w:iCs/>
          <w:lang w:val="en-GB"/>
        </w:rPr>
        <w:t>P</w:t>
      </w:r>
      <w:r w:rsidR="007534A1">
        <w:rPr>
          <w:lang w:val="en-GB"/>
        </w:rPr>
        <w:t>=0.</w:t>
      </w:r>
      <w:r w:rsidR="00426DB2">
        <w:rPr>
          <w:lang w:val="en-GB"/>
        </w:rPr>
        <w:t>97</w:t>
      </w:r>
      <w:r w:rsidR="007534A1">
        <w:rPr>
          <w:lang w:val="en-GB"/>
        </w:rPr>
        <w:t>)</w:t>
      </w:r>
      <w:r w:rsidR="002C2A68">
        <w:rPr>
          <w:lang w:val="en-GB"/>
        </w:rPr>
        <w:t xml:space="preserve"> </w:t>
      </w:r>
      <w:r w:rsidR="002C2A68">
        <w:t>based on biologic use</w:t>
      </w:r>
      <w:r w:rsidR="00831A32">
        <w:t xml:space="preserve">. </w:t>
      </w:r>
      <w:r w:rsidR="007E6822">
        <w:t xml:space="preserve">No differences </w:t>
      </w:r>
      <w:r w:rsidR="0068275F">
        <w:t xml:space="preserve">were observed </w:t>
      </w:r>
      <w:r w:rsidR="007E6822">
        <w:t xml:space="preserve">in COVID-19 treatments </w:t>
      </w:r>
      <w:r w:rsidR="003C6C02">
        <w:t>(</w:t>
      </w:r>
      <w:r w:rsidR="003C6C02">
        <w:rPr>
          <w:i/>
          <w:iCs/>
        </w:rPr>
        <w:t>P</w:t>
      </w:r>
      <w:r w:rsidR="003C6C02">
        <w:t xml:space="preserve">&gt;0.2 for all) </w:t>
      </w:r>
      <w:r w:rsidR="0068275F">
        <w:t>or</w:t>
      </w:r>
      <w:r w:rsidR="005F5FF7">
        <w:t xml:space="preserve"> COVID-19 duration (biologic: mean </w:t>
      </w:r>
      <w:r w:rsidR="00D92705">
        <w:t>[</w:t>
      </w:r>
      <w:r w:rsidR="005F5FF7">
        <w:t>standard deviation</w:t>
      </w:r>
      <w:r w:rsidR="00D92705">
        <w:t>]</w:t>
      </w:r>
      <w:r w:rsidR="005F5FF7">
        <w:t xml:space="preserve"> 21.70 </w:t>
      </w:r>
      <w:r w:rsidR="00D92705">
        <w:t>[</w:t>
      </w:r>
      <w:r w:rsidR="005F5FF7">
        <w:t>12.31</w:t>
      </w:r>
      <w:r w:rsidR="00D92705">
        <w:t>]</w:t>
      </w:r>
      <w:r w:rsidR="005F5FF7">
        <w:t xml:space="preserve"> days; nonbiologic: 23.45 </w:t>
      </w:r>
      <w:r w:rsidR="00D92705">
        <w:t>[</w:t>
      </w:r>
      <w:r w:rsidR="005F5FF7">
        <w:t>26.22</w:t>
      </w:r>
      <w:r w:rsidR="00D92705">
        <w:t>]</w:t>
      </w:r>
      <w:r w:rsidR="005F5FF7">
        <w:t xml:space="preserve"> days, </w:t>
      </w:r>
      <w:r w:rsidR="005F5FF7">
        <w:rPr>
          <w:i/>
          <w:iCs/>
        </w:rPr>
        <w:t>P</w:t>
      </w:r>
      <w:r w:rsidR="005F5FF7">
        <w:t>=0.13)</w:t>
      </w:r>
      <w:r w:rsidR="00B341A3">
        <w:t xml:space="preserve"> between groups</w:t>
      </w:r>
      <w:r w:rsidR="005F5FF7">
        <w:t xml:space="preserve">. </w:t>
      </w:r>
      <w:r w:rsidR="00F37DC5">
        <w:t>P</w:t>
      </w:r>
      <w:r w:rsidR="007D119B">
        <w:t xml:space="preserve">atients treated with biologics more frequently reported HS exacerbations </w:t>
      </w:r>
      <w:r w:rsidR="00E07202">
        <w:t xml:space="preserve">with COVID-19 infection </w:t>
      </w:r>
      <w:r w:rsidR="007D119B">
        <w:t xml:space="preserve">(biologic: </w:t>
      </w:r>
      <w:r w:rsidR="00134763">
        <w:t>51.43% (</w:t>
      </w:r>
      <w:r w:rsidR="007D119B">
        <w:t xml:space="preserve">18/35); nonbiologic: </w:t>
      </w:r>
      <w:r w:rsidR="00134763">
        <w:t>25.37% (</w:t>
      </w:r>
      <w:r w:rsidR="007D119B">
        <w:t xml:space="preserve">52/205), </w:t>
      </w:r>
      <w:r w:rsidR="007D119B" w:rsidRPr="00E70765">
        <w:rPr>
          <w:i/>
          <w:iCs/>
        </w:rPr>
        <w:t>P</w:t>
      </w:r>
      <w:r w:rsidR="007D119B">
        <w:t>&lt;0.01).</w:t>
      </w:r>
      <w:r w:rsidR="00C51993">
        <w:t xml:space="preserve"> </w:t>
      </w:r>
      <w:r w:rsidR="00C51993" w:rsidRPr="00C51993">
        <w:t xml:space="preserve">Subgroup analysis revealed no association between disease severity and HS exacerbation during COVID-19 infection among patients using biologics (mild: 19.0% (11/58); moderate-to-severe: 32.4% (59/182), </w:t>
      </w:r>
      <w:r w:rsidR="00C51993" w:rsidRPr="00C51993">
        <w:rPr>
          <w:i/>
        </w:rPr>
        <w:t>P</w:t>
      </w:r>
      <w:r w:rsidR="00C51993" w:rsidRPr="00C51993">
        <w:t xml:space="preserve">=0.07). Furthermore, biologic therapy was associated with HS exacerbation during COVID-19 infection among patients with moderate-to-severe HS (biologic: 54.8% (17/31); nonbiologic: 26.5% (40/151), </w:t>
      </w:r>
      <w:r w:rsidR="00C51993" w:rsidRPr="00C51993">
        <w:rPr>
          <w:i/>
        </w:rPr>
        <w:t>P</w:t>
      </w:r>
      <w:r w:rsidR="00C51993" w:rsidRPr="00C51993">
        <w:t>&lt;0.01).</w:t>
      </w:r>
      <w:r w:rsidR="00E07202">
        <w:t xml:space="preserve"> </w:t>
      </w:r>
      <w:r w:rsidR="00C51993">
        <w:t>N</w:t>
      </w:r>
      <w:r w:rsidR="00E07202">
        <w:t>o other differences in COVID-19 complications were observed between groups (</w:t>
      </w:r>
      <w:r w:rsidR="00E07202">
        <w:rPr>
          <w:i/>
          <w:iCs/>
        </w:rPr>
        <w:t>P</w:t>
      </w:r>
      <w:r w:rsidR="00E07202">
        <w:t>&gt;0.</w:t>
      </w:r>
      <w:r w:rsidR="00F37DC5">
        <w:t>1 for all)</w:t>
      </w:r>
      <w:r w:rsidR="00B341A3">
        <w:t>.</w:t>
      </w:r>
      <w:r w:rsidR="00F37DC5">
        <w:t xml:space="preserve"> </w:t>
      </w:r>
      <w:r w:rsidR="0064167F">
        <w:t xml:space="preserve">One case </w:t>
      </w:r>
      <w:r w:rsidR="00B341A3">
        <w:t xml:space="preserve">each </w:t>
      </w:r>
      <w:r w:rsidR="0064167F">
        <w:t>of sepsis and myocardial infarction were reported</w:t>
      </w:r>
      <w:r w:rsidR="00B341A3">
        <w:t xml:space="preserve"> </w:t>
      </w:r>
      <w:r w:rsidR="0064167F">
        <w:t xml:space="preserve">in patients not treated with biologics. No cases of stroke or death were reported. </w:t>
      </w:r>
      <w:r w:rsidR="00215751">
        <w:t>There were no differences in hospitalization rates (</w:t>
      </w:r>
      <w:r w:rsidR="00215751">
        <w:rPr>
          <w:i/>
          <w:iCs/>
        </w:rPr>
        <w:t>P</w:t>
      </w:r>
      <w:r w:rsidR="00215751">
        <w:t>=0.</w:t>
      </w:r>
      <w:r w:rsidR="00215751" w:rsidRPr="00A01296">
        <w:t>6</w:t>
      </w:r>
      <w:r w:rsidR="00215751">
        <w:t>1), respiratory support requirement (</w:t>
      </w:r>
      <w:r w:rsidR="00215751">
        <w:rPr>
          <w:i/>
          <w:iCs/>
        </w:rPr>
        <w:t>P</w:t>
      </w:r>
      <w:r w:rsidR="00215751">
        <w:t>=0.20), or complication rates (</w:t>
      </w:r>
      <w:r w:rsidR="00215751" w:rsidRPr="00560872">
        <w:rPr>
          <w:i/>
          <w:iCs/>
        </w:rPr>
        <w:t>P</w:t>
      </w:r>
      <w:r w:rsidR="00215751">
        <w:t>&gt;0.05 for all)</w:t>
      </w:r>
      <w:r w:rsidR="00560872">
        <w:t>—including HS flares (</w:t>
      </w:r>
      <w:r w:rsidR="00560872">
        <w:rPr>
          <w:i/>
          <w:iCs/>
        </w:rPr>
        <w:t>P</w:t>
      </w:r>
      <w:r w:rsidR="00560872">
        <w:t>=0.30),</w:t>
      </w:r>
      <w:r w:rsidR="00215751">
        <w:t xml:space="preserve"> between those who remained on versus discontinued biologics </w:t>
      </w:r>
      <w:r w:rsidR="0057703A">
        <w:t>upon</w:t>
      </w:r>
      <w:r w:rsidR="00FC063D" w:rsidRPr="00FC063D">
        <w:t xml:space="preserve"> </w:t>
      </w:r>
      <w:r w:rsidR="00215751">
        <w:t>COVID-19 diagnosis.</w:t>
      </w:r>
    </w:p>
    <w:p w14:paraId="0D2D879C" w14:textId="77777777" w:rsidR="005127C8" w:rsidRDefault="005127C8" w:rsidP="00F42FBD">
      <w:pPr>
        <w:spacing w:line="360" w:lineRule="auto"/>
      </w:pPr>
    </w:p>
    <w:p w14:paraId="2BC7E156" w14:textId="0A970C97" w:rsidR="00DC2C08" w:rsidRPr="00142A68" w:rsidRDefault="00215751" w:rsidP="00F42FBD">
      <w:pPr>
        <w:spacing w:line="360" w:lineRule="auto"/>
      </w:pPr>
      <w:r>
        <w:t>Among</w:t>
      </w:r>
      <w:r w:rsidR="00DC2C08">
        <w:t xml:space="preserve"> HCP-reported cases, </w:t>
      </w:r>
      <w:r w:rsidR="00134763">
        <w:t>90.0% (</w:t>
      </w:r>
      <w:r w:rsidR="00E30EF3">
        <w:t>54/6</w:t>
      </w:r>
      <w:r w:rsidR="00E341C8">
        <w:t>0</w:t>
      </w:r>
      <w:r w:rsidR="00E30EF3">
        <w:t xml:space="preserve">) </w:t>
      </w:r>
      <w:r>
        <w:t xml:space="preserve">had </w:t>
      </w:r>
      <w:r w:rsidR="00E30EF3">
        <w:t>mild or asymptomatic COVID-19 infection</w:t>
      </w:r>
      <w:r w:rsidR="009F1607">
        <w:t xml:space="preserve">, and </w:t>
      </w:r>
      <w:r w:rsidR="00362D23">
        <w:t xml:space="preserve">no </w:t>
      </w:r>
      <w:r w:rsidR="009F1607">
        <w:t>association was found between COVID-19 severity and use of biologic therapy</w:t>
      </w:r>
      <w:r w:rsidR="00D55B8A">
        <w:t xml:space="preserve"> </w:t>
      </w:r>
      <w:r w:rsidR="00FB2C4C">
        <w:t>(</w:t>
      </w:r>
      <w:proofErr w:type="spellStart"/>
      <w:r w:rsidR="00D55B8A">
        <w:t>a</w:t>
      </w:r>
      <w:r w:rsidR="00D55B8A" w:rsidRPr="00362D23">
        <w:t>OR</w:t>
      </w:r>
      <w:proofErr w:type="spellEnd"/>
      <w:r w:rsidR="00D55B8A" w:rsidRPr="00362D23">
        <w:t xml:space="preserve"> </w:t>
      </w:r>
      <w:r w:rsidR="00314319">
        <w:t>3.08</w:t>
      </w:r>
      <w:r w:rsidR="00D55B8A">
        <w:t xml:space="preserve">, </w:t>
      </w:r>
      <w:r w:rsidR="002C6CC3">
        <w:t>95% CI 0.</w:t>
      </w:r>
      <w:r w:rsidR="00314319">
        <w:t>26</w:t>
      </w:r>
      <w:r w:rsidR="002C6CC3">
        <w:t>-</w:t>
      </w:r>
      <w:r w:rsidR="00314319">
        <w:t>36.6</w:t>
      </w:r>
      <w:r w:rsidR="002C6CC3">
        <w:t xml:space="preserve">, </w:t>
      </w:r>
      <w:r w:rsidR="00FB2C4C">
        <w:rPr>
          <w:i/>
          <w:iCs/>
        </w:rPr>
        <w:t>P</w:t>
      </w:r>
      <w:r w:rsidR="00FB2C4C">
        <w:t>=0.</w:t>
      </w:r>
      <w:r w:rsidR="00314319">
        <w:t>37</w:t>
      </w:r>
      <w:r w:rsidR="00FB2C4C">
        <w:t xml:space="preserve">). </w:t>
      </w:r>
      <w:r w:rsidR="00D55B8A">
        <w:t xml:space="preserve">No </w:t>
      </w:r>
      <w:r w:rsidR="008C2F67">
        <w:t>differences in COVID-19 c</w:t>
      </w:r>
      <w:r w:rsidR="00D55B8A">
        <w:t>omplication</w:t>
      </w:r>
      <w:r w:rsidR="006C35C9">
        <w:t xml:space="preserve"> rates </w:t>
      </w:r>
      <w:r w:rsidR="008C2F67">
        <w:t>(</w:t>
      </w:r>
      <w:r w:rsidR="008C2F67" w:rsidRPr="008C2F67">
        <w:rPr>
          <w:i/>
          <w:iCs/>
        </w:rPr>
        <w:t>P</w:t>
      </w:r>
      <w:r w:rsidR="008C2F67">
        <w:t xml:space="preserve">=0.55) or </w:t>
      </w:r>
      <w:r w:rsidR="00142A68">
        <w:t xml:space="preserve">treatment </w:t>
      </w:r>
      <w:r>
        <w:t xml:space="preserve">type </w:t>
      </w:r>
      <w:r w:rsidR="00142A68">
        <w:t>were observed (</w:t>
      </w:r>
      <w:r w:rsidR="00142A68">
        <w:rPr>
          <w:i/>
          <w:iCs/>
        </w:rPr>
        <w:t>P</w:t>
      </w:r>
      <w:r w:rsidR="00142A68">
        <w:t>=0.48</w:t>
      </w:r>
      <w:r w:rsidR="00C60C8E">
        <w:t xml:space="preserve">). </w:t>
      </w:r>
      <w:r w:rsidR="00553A13">
        <w:t>Like</w:t>
      </w:r>
      <w:r>
        <w:t xml:space="preserve"> self-reported cases, t</w:t>
      </w:r>
      <w:r w:rsidR="00D6449D">
        <w:t>here was no association between COVID-19 severity and continued use or discontinuation of biologic therapy with COVID-19 infection (</w:t>
      </w:r>
      <w:r w:rsidR="00EC021A">
        <w:rPr>
          <w:i/>
          <w:iCs/>
        </w:rPr>
        <w:t>P</w:t>
      </w:r>
      <w:r w:rsidR="00D6449D">
        <w:t>=</w:t>
      </w:r>
      <w:r w:rsidR="00134763">
        <w:t>0.63</w:t>
      </w:r>
      <w:r w:rsidR="00D6449D">
        <w:t xml:space="preserve">). </w:t>
      </w:r>
    </w:p>
    <w:p w14:paraId="104950BB" w14:textId="77777777" w:rsidR="00E60ECD" w:rsidRDefault="00E60ECD" w:rsidP="00F42FBD">
      <w:pPr>
        <w:spacing w:line="360" w:lineRule="auto"/>
      </w:pPr>
    </w:p>
    <w:p w14:paraId="396813D9" w14:textId="1ECCF2BC" w:rsidR="00B874A5" w:rsidRDefault="00391FAB" w:rsidP="00F42FBD">
      <w:pPr>
        <w:spacing w:line="360" w:lineRule="auto"/>
        <w:rPr>
          <w:bCs/>
        </w:rPr>
      </w:pPr>
      <w:r>
        <w:t xml:space="preserve">Here, </w:t>
      </w:r>
      <w:r w:rsidR="004456F7">
        <w:t xml:space="preserve">we report </w:t>
      </w:r>
      <w:r w:rsidR="002516A6">
        <w:t xml:space="preserve">the most recent data from the </w:t>
      </w:r>
      <w:r w:rsidR="002516A6" w:rsidRPr="003246EA">
        <w:rPr>
          <w:bCs/>
        </w:rPr>
        <w:t>Global Hidradenitis Suppurativa COVID-19 Registr</w:t>
      </w:r>
      <w:r w:rsidR="00FA1814" w:rsidRPr="003246EA">
        <w:rPr>
          <w:bCs/>
        </w:rPr>
        <w:t>y</w:t>
      </w:r>
      <w:r w:rsidR="00BF306A" w:rsidRPr="003246EA">
        <w:rPr>
          <w:bCs/>
        </w:rPr>
        <w:t xml:space="preserve">, which further demonstrate that HS patients on biologics </w:t>
      </w:r>
      <w:r w:rsidR="00CA096D" w:rsidRPr="003246EA">
        <w:rPr>
          <w:bCs/>
        </w:rPr>
        <w:t xml:space="preserve">do not have higher odds of hospitalization or </w:t>
      </w:r>
      <w:r w:rsidR="009B2F29" w:rsidRPr="003246EA">
        <w:rPr>
          <w:bCs/>
        </w:rPr>
        <w:t xml:space="preserve">required respiratory support </w:t>
      </w:r>
      <w:r w:rsidR="00CA096D" w:rsidRPr="003246EA">
        <w:rPr>
          <w:bCs/>
        </w:rPr>
        <w:t xml:space="preserve">compared to those on nonbiologic therapies. </w:t>
      </w:r>
      <w:r w:rsidR="00504BEE">
        <w:rPr>
          <w:bCs/>
        </w:rPr>
        <w:t>Although p</w:t>
      </w:r>
      <w:r w:rsidR="002E0341" w:rsidRPr="003246EA">
        <w:rPr>
          <w:bCs/>
        </w:rPr>
        <w:t>revious studies of smaller</w:t>
      </w:r>
      <w:r w:rsidR="00CB22C4" w:rsidRPr="003246EA">
        <w:rPr>
          <w:bCs/>
        </w:rPr>
        <w:t xml:space="preserve"> HS</w:t>
      </w:r>
      <w:r w:rsidR="002E0341" w:rsidRPr="003246EA">
        <w:rPr>
          <w:bCs/>
        </w:rPr>
        <w:t xml:space="preserve"> cohorts </w:t>
      </w:r>
      <w:r w:rsidR="002274D0" w:rsidRPr="003246EA">
        <w:rPr>
          <w:bCs/>
        </w:rPr>
        <w:t>have reported similar findings</w:t>
      </w:r>
      <w:r w:rsidR="00504BEE">
        <w:rPr>
          <w:bCs/>
        </w:rPr>
        <w:t>,</w:t>
      </w:r>
      <w:r w:rsidR="00BF0ECE" w:rsidRPr="003246EA">
        <w:rPr>
          <w:bCs/>
        </w:rPr>
        <w:fldChar w:fldCharType="begin"/>
      </w:r>
      <w:r w:rsidR="00C36E45">
        <w:rPr>
          <w:bCs/>
        </w:rPr>
        <w:instrText xml:space="preserve"> ADDIN ZOTERO_ITEM CSL_CITATION {"citationID":"3TR6RsCM","properties":{"formattedCitation":"[1,2]","plainCitation":"[1,2]","noteIndex":0},"citationItems":[{"id":6756,"uris":["http://zotero.org/users/7657228/items/FAIGCNFT"],"itemData":{"id":6756,"type":"article-journal","container-title":"Journal of the American Academy of Dermatology","DOI":"10.1016/j.jaad.2021.09.016","ISSN":"0190-9622, 1097-6787","issue":"1","journalAbbreviation":"Journal of the American Academy of Dermatology","language":"English","note":"publisher: Elsevier\nPMID: 34537252","page":"249-252","source":"www.jaad.org","title":"Biologic therapy is not associated with increased COVID-19 severity in patients with hidradenitis suppurativa: Initial findings from the Global Hidradenitis Suppurativa COVID-19 Registry","title-short":"Biologic therapy is not associated with increased COVID-19 severity in patients with hidradenitis suppurativa","volume":"86","author":[{"family":"Naik","given":"Haley B."},{"family":"Alhusayen","given":"Raed"},{"family":"Frew","given":"John"},{"family":"Guilbault","given":"Sandra"},{"family":"Hills","given":"Nancy K."},{"family":"Ingram","given":"John R."},{"family":"Kudlinski","given":"Margaret V."},{"family":"Lowes","given":"Michelle A."},{"family":"Marzano","given":"Angelo Valerio"},{"family":"Paul","given":"Maia"},{"family":"Villumsen","given":"Bente"},{"family":"Yannuzzi","given":"Christine A."}],"issued":{"date-parts":[["2022",1,1]]}}},{"id":6765,"uris":["http://zotero.org/users/7657228/items/KXKFH5KG"],"itemData":{"id":6765,"type":"article-journal","container-title":"Journal of Cutaneous Medicine and Surgery","DOI":"10.1177/1203475421997058","ISSN":"1203-4754","issue":"4","journalAbbreviation":"J Cutan Med Surg","language":"en","note":"publisher: SAGE Publications Inc","page":"446-448","source":"SAGE Journals","title":"Impact of Treatment With TNF-α Inhibitors for Hidradenitis Suppurativa During the COVID-19 Pandemic","volume":"25","author":[{"family":"Benesh","given":"Gabrielle"},{"family":"Andriano","given":"Tyler M."},{"family":"Babbush","given":"Kayla M."},{"family":"Hosgood","given":"H. Dean"},{"family":"Cohen","given":"Steven R."}],"issued":{"date-parts":[["2021",7,1]]}}}],"schema":"https://github.com/citation-style-language/schema/raw/master/csl-citation.json"} </w:instrText>
      </w:r>
      <w:r w:rsidR="00BF0ECE" w:rsidRPr="003246EA">
        <w:rPr>
          <w:bCs/>
        </w:rPr>
        <w:fldChar w:fldCharType="separate"/>
      </w:r>
      <w:r w:rsidR="00C36E45">
        <w:t>[1,2]</w:t>
      </w:r>
      <w:r w:rsidR="00BF0ECE" w:rsidRPr="003246EA">
        <w:rPr>
          <w:bCs/>
        </w:rPr>
        <w:fldChar w:fldCharType="end"/>
      </w:r>
      <w:r w:rsidR="002274D0" w:rsidRPr="003246EA">
        <w:rPr>
          <w:bCs/>
        </w:rPr>
        <w:t xml:space="preserve"> </w:t>
      </w:r>
      <w:r w:rsidR="001B433D">
        <w:rPr>
          <w:bCs/>
        </w:rPr>
        <w:t>the</w:t>
      </w:r>
      <w:r w:rsidR="00504BEE">
        <w:rPr>
          <w:bCs/>
        </w:rPr>
        <w:t xml:space="preserve"> findings </w:t>
      </w:r>
      <w:r w:rsidR="001B433D">
        <w:rPr>
          <w:bCs/>
        </w:rPr>
        <w:t xml:space="preserve">from this report, which </w:t>
      </w:r>
      <w:r w:rsidR="00B14DAB" w:rsidRPr="003246EA">
        <w:rPr>
          <w:bCs/>
        </w:rPr>
        <w:t>include</w:t>
      </w:r>
      <w:r w:rsidR="001D1854" w:rsidRPr="003246EA">
        <w:rPr>
          <w:bCs/>
        </w:rPr>
        <w:t>s</w:t>
      </w:r>
      <w:r w:rsidR="00B14DAB" w:rsidRPr="003246EA">
        <w:rPr>
          <w:bCs/>
        </w:rPr>
        <w:t xml:space="preserve"> </w:t>
      </w:r>
      <w:r w:rsidR="001006F2" w:rsidRPr="003246EA">
        <w:rPr>
          <w:bCs/>
        </w:rPr>
        <w:t>126 cases (</w:t>
      </w:r>
      <w:r w:rsidR="00B14DAB">
        <w:t>105 self/caregiver-reported and 21 HCP</w:t>
      </w:r>
      <w:r w:rsidR="00E70B57">
        <w:t>-reported</w:t>
      </w:r>
      <w:r w:rsidR="001006F2">
        <w:t xml:space="preserve">) </w:t>
      </w:r>
      <w:r w:rsidR="009333B6">
        <w:t xml:space="preserve">that were reported after the introduction of COVID-19 </w:t>
      </w:r>
      <w:r w:rsidR="00144F43">
        <w:t>vaccines</w:t>
      </w:r>
      <w:r w:rsidR="00396BB0">
        <w:t>,</w:t>
      </w:r>
      <w:r w:rsidR="001B433D">
        <w:t xml:space="preserve"> are</w:t>
      </w:r>
      <w:r w:rsidR="00381ACC">
        <w:t xml:space="preserve"> notable</w:t>
      </w:r>
      <w:r w:rsidR="001B433D">
        <w:t xml:space="preserve"> g</w:t>
      </w:r>
      <w:r w:rsidR="00E60ECD">
        <w:t>iven that</w:t>
      </w:r>
      <w:r w:rsidR="003246EA" w:rsidRPr="003246EA">
        <w:rPr>
          <w:bCs/>
        </w:rPr>
        <w:t xml:space="preserve"> anti-TNF therapy is associated with faster declines in </w:t>
      </w:r>
      <w:r w:rsidR="00E60ECD">
        <w:rPr>
          <w:bCs/>
        </w:rPr>
        <w:t>COVID-19 vaccine</w:t>
      </w:r>
      <w:r w:rsidR="00381ACC">
        <w:rPr>
          <w:bCs/>
        </w:rPr>
        <w:t xml:space="preserve">-induced </w:t>
      </w:r>
      <w:r w:rsidR="003246EA" w:rsidRPr="003246EA">
        <w:rPr>
          <w:bCs/>
        </w:rPr>
        <w:t>neutralizing antibodies in patients with chronic inflammatory diseases</w:t>
      </w:r>
      <w:r w:rsidR="001B433D">
        <w:rPr>
          <w:bCs/>
        </w:rPr>
        <w:t>.</w:t>
      </w:r>
      <w:r w:rsidR="003246EA" w:rsidRPr="003246EA">
        <w:rPr>
          <w:bCs/>
        </w:rPr>
        <w:fldChar w:fldCharType="begin"/>
      </w:r>
      <w:r w:rsidR="00C36E45">
        <w:rPr>
          <w:bCs/>
        </w:rPr>
        <w:instrText xml:space="preserve"> ADDIN ZOTERO_ITEM CSL_CITATION {"citationID":"NflisaW2","properties":{"formattedCitation":"[3]","plainCitation":"[3]","noteIndex":0},"citationItems":[{"id":6790,"uris":["http://zotero.org/users/7657228/items/M6FC2SNE"],"itemData":{"id":6790,"type":"article-journal","abstract":"Background The persistence of the SARS-CoV2 pandemic, partly due to the appearance of highly infectious variants, has made booster vaccinations necessary for vulnerable groups. Questions remain as to which cohorts require SARS-CoV2 boosters. However, there is a critical lack of data on the dynamics of vaccine responses in patients with chronic inflammatory diseases (CID) undergoing immunosuppressive/disease modifying anti-rheumatic (DMARD) treatment. Here, we present the first data regarding the decline of the vaccine-induced humoral immune responses in patients with CID.\nMethods 23 patients with CID were monitored clinically and for anti-spike IgG and IgA levels, neutralization efficacy and antigen-specific CD4+ T cell responses over the first 6 months after SARS-CoV2 vaccination. 24 healthy individuals were included as controls.\nResults While anti-spike IgG-levels declined in CID patients and healthy controls, patients receiving anti-TNF treatment showed significantly greater declines at 6 months post second vaccination in IgG and especially neutralizing antibodies. IgA levels were generally lower in CID patients, particularly during anti-TNF therapy. No differences in SARS-CoV2 spike-specific CD4+ T-cell frequencies were detected.\nConclusion Although the long-term efficacy of SARS-CoV2 vaccination in CID patients undergoing disease-modifying therapy is still not known, the pronounced declines in humoral responses towards SARS-CoV2 6 months after mRNA vaccination in the context of TNF blockade should be considered when formulating booster regimens. These patients should be considered for early booster vaccinations.","container-title":"RMD Open","DOI":"10.1136/rmdopen-2021-002008","ISSN":"2056-5933","issue":"3","language":"en","note":"publisher: BMJ Specialist Journals\nsection: Infections\nPMID: 34880128","page":"e002008","source":"rmdopen-bmj-com.ucsf.idm.oclc.org","title":"Humoral protection to SARS-CoV2 declines faster in patients on TNF alpha blocking therapies","volume":"7","author":[{"family":"Geisen","given":"Ulf M."},{"family":"Sümbül","given":"Melike"},{"family":"Tran","given":"Florian"},{"family":"Berner","given":"Dennis K."},{"family":"Reid","given":"Hayley M."},{"family":"Vullriede","given":"Lena"},{"family":"Ciripoi","given":"Maria"},{"family":"Longardt","given":"Ann C."},{"family":"Hoff","given":"Paula"},{"family":"Morrison","given":"Peter J."},{"family":"Schneider","given":"Verena E."},{"family":"Zeuner","given":"Rainald"},{"family":"Schirmer","given":"Jan H."},{"family":"Steinbach","given":"Andrea"},{"family":"Nikolaus","given":"Susanna"},{"family":"Gerdes","given":"S."},{"family":"Schreiber","given":"Stefan"},{"family":"Bacher","given":"Petra"},{"family":"Hoyer","given":"Bimba F."}],"issued":{"date-parts":[["2021",12,1]]}}}],"schema":"https://github.com/citation-style-language/schema/raw/master/csl-citation.json"} </w:instrText>
      </w:r>
      <w:r w:rsidR="003246EA" w:rsidRPr="003246EA">
        <w:rPr>
          <w:bCs/>
        </w:rPr>
        <w:fldChar w:fldCharType="separate"/>
      </w:r>
      <w:r w:rsidR="00C36E45">
        <w:t>[3]</w:t>
      </w:r>
      <w:r w:rsidR="003246EA" w:rsidRPr="003246EA">
        <w:rPr>
          <w:bCs/>
        </w:rPr>
        <w:fldChar w:fldCharType="end"/>
      </w:r>
      <w:r w:rsidR="00DA4352">
        <w:rPr>
          <w:bCs/>
        </w:rPr>
        <w:t xml:space="preserve"> </w:t>
      </w:r>
    </w:p>
    <w:p w14:paraId="4A0D95A7" w14:textId="108432D4" w:rsidR="00ED1831" w:rsidRDefault="00ED1831" w:rsidP="00F42FBD">
      <w:pPr>
        <w:spacing w:line="360" w:lineRule="auto"/>
        <w:rPr>
          <w:bCs/>
        </w:rPr>
      </w:pPr>
    </w:p>
    <w:p w14:paraId="6BF851A5" w14:textId="41602302" w:rsidR="00B874A5" w:rsidRPr="00325814" w:rsidRDefault="0011282D" w:rsidP="00F42FBD">
      <w:pPr>
        <w:spacing w:line="360" w:lineRule="auto"/>
        <w:rPr>
          <w:bCs/>
        </w:rPr>
      </w:pPr>
      <w:r>
        <w:rPr>
          <w:bCs/>
        </w:rPr>
        <w:t xml:space="preserve">Despite growing evidence that biologic use does not increase risk of severe COVID-19 outcomes, patients with immune-mediated diseases </w:t>
      </w:r>
      <w:r w:rsidR="009B0722">
        <w:rPr>
          <w:bCs/>
        </w:rPr>
        <w:t xml:space="preserve">frequently experience interruptions in biologic treatment. </w:t>
      </w:r>
      <w:r w:rsidR="00AC1CD2">
        <w:rPr>
          <w:bCs/>
        </w:rPr>
        <w:t xml:space="preserve">In this study, 17/35 patients on biologics reported discontinuing therapy </w:t>
      </w:r>
      <w:r w:rsidR="00215751">
        <w:rPr>
          <w:bCs/>
        </w:rPr>
        <w:t xml:space="preserve">upon </w:t>
      </w:r>
      <w:r w:rsidR="00AC1CD2">
        <w:rPr>
          <w:bCs/>
        </w:rPr>
        <w:t xml:space="preserve">COVID-19 </w:t>
      </w:r>
      <w:r w:rsidR="00215751">
        <w:rPr>
          <w:bCs/>
        </w:rPr>
        <w:t>diagnosis</w:t>
      </w:r>
      <w:r w:rsidR="00AC1CD2">
        <w:rPr>
          <w:bCs/>
        </w:rPr>
        <w:t xml:space="preserve">. Similarly, a global registry of </w:t>
      </w:r>
      <w:r w:rsidR="00AC1CD2" w:rsidRPr="00194C60">
        <w:rPr>
          <w:bCs/>
        </w:rPr>
        <w:t xml:space="preserve">374 </w:t>
      </w:r>
      <w:r w:rsidR="00E74E1C">
        <w:rPr>
          <w:bCs/>
        </w:rPr>
        <w:t xml:space="preserve">psoriasis </w:t>
      </w:r>
      <w:r w:rsidR="00AC1CD2" w:rsidRPr="00194C60">
        <w:rPr>
          <w:bCs/>
        </w:rPr>
        <w:t>patients with</w:t>
      </w:r>
      <w:r w:rsidR="00E74E1C">
        <w:rPr>
          <w:bCs/>
        </w:rPr>
        <w:t xml:space="preserve"> </w:t>
      </w:r>
      <w:r w:rsidR="00AC1CD2" w:rsidRPr="00194C60">
        <w:rPr>
          <w:bCs/>
        </w:rPr>
        <w:t>confirmed</w:t>
      </w:r>
      <w:r w:rsidR="00AC1CD2">
        <w:rPr>
          <w:bCs/>
        </w:rPr>
        <w:t xml:space="preserve"> </w:t>
      </w:r>
      <w:r w:rsidR="00AC1CD2" w:rsidRPr="00194C60">
        <w:rPr>
          <w:bCs/>
        </w:rPr>
        <w:t>or suspected</w:t>
      </w:r>
      <w:r w:rsidR="00AC1CD2">
        <w:rPr>
          <w:bCs/>
        </w:rPr>
        <w:t xml:space="preserve"> </w:t>
      </w:r>
      <w:r w:rsidR="00AC1CD2" w:rsidRPr="00194C60">
        <w:rPr>
          <w:bCs/>
        </w:rPr>
        <w:t>COVID-19</w:t>
      </w:r>
      <w:r w:rsidR="00E74E1C">
        <w:rPr>
          <w:bCs/>
        </w:rPr>
        <w:t xml:space="preserve"> reported </w:t>
      </w:r>
      <w:r w:rsidR="00FD67F7">
        <w:rPr>
          <w:bCs/>
        </w:rPr>
        <w:t>biologic</w:t>
      </w:r>
      <w:r w:rsidR="00215751">
        <w:rPr>
          <w:bCs/>
        </w:rPr>
        <w:t xml:space="preserve"> </w:t>
      </w:r>
      <w:r w:rsidR="00E74E1C">
        <w:rPr>
          <w:bCs/>
        </w:rPr>
        <w:t>discontinuation in 51.2% of patients.</w:t>
      </w:r>
      <w:r w:rsidR="00E74E1C">
        <w:rPr>
          <w:bCs/>
        </w:rPr>
        <w:fldChar w:fldCharType="begin"/>
      </w:r>
      <w:r w:rsidR="00C36E45">
        <w:rPr>
          <w:bCs/>
        </w:rPr>
        <w:instrText xml:space="preserve"> ADDIN ZOTERO_ITEM CSL_CITATION {"citationID":"9t9TQVR1","properties":{"formattedCitation":"[4]","plainCitation":"[4]","noteIndex":0},"citationItems":[{"id":6804,"uris":["http://zotero.org/users/7657228/items/JW9MCCNM"],"itemData":{"id":6804,"type":"article-journal","abstract":"Background\nThe multimorbid burden and use of systemic immunosuppressants in people with psoriasis may confer greater risk of adverse outcomes of coronavirus disease 2019 (COVID-19), but the data are limited.\nObjective\nOur aim was to characterize the course of COVID-19 in patients with psoriasis and identify factors associated with hospitalization.\nMethods\nClinicians reported patients with psoriasis with confirmed/suspected COVID-19 via an international registry, Psoriasis Patient Registry for Outcomes, Therapy and Epidemiology of COVID-19 Infection. Multiple logistic regression was used to assess the association between clinical and/or demographic characteristics and hospitalization. A separate patient-facing registry characterized risk-mitigating behaviors.\nResults\nOf 374 clinician-reported patients from 25 countries, 71% were receiving a biologic, 18% were receiving a nonbiologic, and 10% were not receiving any systemic treatment for psoriasis. In all, 348 patients (93%) were fully recovered from COVID-19, 77 (21%) were hospitalized, and 9 (2%) died. Increased hospitalization risk was associated with older age (multivariable-adjusted odds ratio [OR] = 1.59 per 10 years; 95% CI = 1.19-2.13), male sex (OR = 2.51; 95% CI = 1.23-5.12), nonwhite ethnicity (OR = 3.15; 95% CI = 1.24-8.03), and comorbid chronic lung disease (OR = 3.87; 95% CI = 1.52-9.83). Hospitalization was more frequent in patients using nonbiologic systemic therapy than in those using biologics (OR = 2.84; 95% CI = 1.31-6.18). No significant differences were found between classes of biologics. Independent patient-reported data (n = 1626 across 48 countries) suggested lower levels of social isolation in individuals receiving nonbiologic systemic therapy than in those receiving biologics (OR = 0.68; 95% CI = 0.50-0.94).\nConclusion\nIn this international case series of patients with moderate-to-severe psoriasis, biologic use was associated with lower risk of COVID-19–related hospitalization than with use of nonbiologic systemic therapies; however, further investigation is warranted on account of potential selection bias and unmeasured confounding. Established risk factors (being older, being male, being of nonwhite ethnicity, and having comorbidities) were associated with higher hospitalization rates.","container-title":"Journal of Allergy and Clinical Immunology","DOI":"10.1016/j.jaci.2020.10.007","ISSN":"0091-6749","issue":"1","journalAbbreviation":"Journal of Allergy and Clinical Immunology","language":"en","page":"60-71","source":"ScienceDirect","title":"Factors associated with adverse COVID-19 outcomes in patients with psoriasis—insights from a global registry–based study","volume":"147","author":[{"family":"Mahil","given":"Satveer K."},{"family":"Dand","given":"Nick"},{"family":"Mason","given":"Kayleigh J."},{"family":"Yiu","given":"Zenas Z. N."},{"family":"Tsakok","given":"Teresa"},{"family":"Meynell","given":"Freya"},{"family":"Coker","given":"Bola"},{"family":"McAteer","given":"Helen"},{"family":"Moorhead","given":"Lucy"},{"family":"Mackenzie","given":"Teena"},{"family":"Rossi","given":"Maria Teresa"},{"family":"Rivera","given":"Raquel"},{"family":"Mahe","given":"Emmanuel"},{"family":"Carugno","given":"Andrea"},{"family":"Magnano","given":"Michela"},{"family":"Rech","given":"Giulia"},{"family":"Balogh","given":"Esther A."},{"family":"Feldman","given":"Steven R."},{"family":"De La Cruz","given":"Claudia"},{"family":"Choon","given":"Siew Eng"},{"family":"Naldi","given":"Luigi"},{"family":"Lambert","given":"Jo"},{"family":"Spuls","given":"Phyllis"},{"family":"Jullien","given":"Denis"},{"family":"Bachelez","given":"Hervé"},{"family":"McMahon","given":"Devon E."},{"family":"Freeman","given":"Esther E."},{"family":"Gisondi","given":"Paolo"},{"family":"Puig","given":"Luis"},{"family":"Warren","given":"Richard B."},{"family":"Di Meglio","given":"Paola"},{"family":"Langan","given":"Sinéad M."},{"family":"Capon","given":"Francesca"},{"family":"Griffiths","given":"Christopher E. M."},{"family":"Barker","given":"Jonathan N."},{"family":"Smith","given":"Catherine H."},{"family":"Shah","given":"Aadarsh"},{"family":"Barea","given":"Alberto"},{"family":"Romero-Maté","given":"Alberto"},{"family":"Singapore","given":"Alekya"},{"family":"Paolino","given":"Alexandra"},{"family":"Mwale","given":"Alice"},{"family":"Morales Callaghan","given":"Ana Maria"},{"family":"Martinez","given":"Ana"},{"family":"DeCrescenzo","given":"Andrew"},{"family":"Pink","given":"Andrew E."},{"family":"Jones","given":"Ann"},{"family":"Sergeant","given":"Ann"},{"family":"Essex","given":"Annette"},{"family":"Bewley","given":"Anthony"},{"family":"Makrygeorgou","given":"Areti"},{"family":"Huizen","given":"Astrid","non-dropping-particle":"van"},{"family":"Pérez-Suárez","given":"Beatriz"},{"family":"Farida","given":"Benhadou"},{"family":"Claréus","given":"Birgitta Wilson"},{"family":"Prims","given":"Carla Tubau"},{"family":"Davis","given":"Carrie"},{"family":"Quinlan","given":"Catherine"},{"family":"Maybury","given":"Catriona"},{"family":"Cesar","given":"Gonzalez A."},{"family":"Barclay","given":"Charlotte"},{"family":"Greco","given":"Claudio"},{"family":"Brassard","given":"Danielle"},{"family":"Cummings","given":"Deanna"},{"family":"Kolli","given":"Deepti"},{"family":"Descamps","given":"Vincent"},{"family":"Genao","given":"Diana Ruiz"},{"family":"Carras","given":"Efrossini"},{"family":"Hawryluk","given":"Elena"},{"family":"Martínez-García","given":"Eliseo"},{"family":"Klujszo","given":"Elzbieta"},{"family":"Dwyer","given":"Emily"},{"family":"Toni","given":"Emmanuel"},{"family":"Sonkoly","given":"Enikö"},{"family":"Loayza","given":"Enrique"},{"family":"Daudén","given":"Esteban"},{"family":"Valenzuela","given":"Fernando"},{"family":"Popov","given":"Georgi"},{"family":"King","given":"Georgie"},{"family":"Celine","given":"Girard"},{"family":"Aparicio","given":"Gloria"},{"family":"Johnston","given":"Graham A."},{"family":"Cardozo","given":"Gustavo Anibal"},{"family":"Pearson","given":"Ian"},{"family":"Yanguas","given":"Ignacio"},{"family":"Weisman","given":"Jamie"},{"family":"Carolan","given":"Jennifer E."},{"family":"Hughes","given":"Jenny"},{"family":"Ortiz-Salvador","given":"Jose-Maria"},{"family":"Carrascosa","given":"Jose-Manuel"},{"family":"Schwartz","given":"Joseph J."},{"family":"Jackson","given":"Karina"},{"family":"Kerisit","given":"Kathryn G."},{"family":"Wu","given":"Keith"},{"family":"Asfour","given":"Leila"},{"family":"Graaf","given":"Leontien","non-dropping-particle":"de"},{"family":"Lesort","given":"Cécile"},{"family":"Meuleman","given":"Lieve"},{"family":"Eidsmo","given":"Liv"},{"family":"Skov","given":"Lone"},{"family":"Gribben","given":"Lorraine"},{"family":"Rustin","given":"Malcolm"},{"family":"Velasco","given":"Manel"},{"family":"Panchal","given":"Manisha"},{"family":"Lakhan","given":"Manpreet"},{"family":"Franco","given":"Manuel D."},{"family":"Svensson","given":"Marie-Louise"},{"family":"Vandaele","given":"Mark"},{"family":"Marovt","given":"Maruska"},{"family":"Zargari","given":"Omid"},{"family":"De Caso","given":"Pablo"},{"family":"Varela","given":"Paulo"},{"family":"Jenkin","given":"Peter"},{"family":"Phan","given":"Céline"},{"family":"Hampton","given":"Philip"},{"family":"Goldsmith","given":"Portia"},{"family":"Bak","given":"Rachel"},{"family":"Speeckaert","given":"Reinhart"},{"family":"Romiti","given":"Ricardo"},{"family":"Woolf","given":"Richard"},{"family":"Mercado-Seda","given":"Rogelio"},{"family":"Khatun","given":"Rohima"},{"family":"Ceovic","given":"Romana"},{"family":"Taberner","given":"Rosa"},{"family":"Cohen","given":"Russell W."},{"family":"Stefanescu","given":"Simina"},{"family":"Kirk","given":"Sarah"},{"family":"Reeken","given":"Saskia"},{"family":"Ayob","given":"Shanti"},{"family":"Pérez-Barrio","given":"Silvia"},{"family":"Piaserico","given":"Stefano"},{"family":"Hoey","given":"Susannah"},{"family":"Torres","given":"Tiago"},{"family":"Talme","given":"Toomas"},{"family":"Desai","given":"Trupti V."},{"family":"Geest","given":"Adrienne J.","non-dropping-particle":"van"},{"family":"King","given":"Victoria"},{"family":"Di Lernia","given":"Vito"},{"family":"Koreja","given":"Zahira"},{"family":"Hasab","given":"Vito Zeeshaan"}],"issued":{"date-parts":[["2021",1,1]]}}}],"schema":"https://github.com/citation-style-language/schema/raw/master/csl-citation.json"} </w:instrText>
      </w:r>
      <w:r w:rsidR="00E74E1C">
        <w:rPr>
          <w:bCs/>
        </w:rPr>
        <w:fldChar w:fldCharType="separate"/>
      </w:r>
      <w:r w:rsidR="00C36E45">
        <w:t>[4]</w:t>
      </w:r>
      <w:r w:rsidR="00E74E1C">
        <w:rPr>
          <w:bCs/>
        </w:rPr>
        <w:fldChar w:fldCharType="end"/>
      </w:r>
      <w:r w:rsidR="00325814">
        <w:rPr>
          <w:bCs/>
        </w:rPr>
        <w:t xml:space="preserve"> </w:t>
      </w:r>
      <w:r w:rsidR="00086FAA" w:rsidRPr="00325814">
        <w:rPr>
          <w:bCs/>
        </w:rPr>
        <w:t xml:space="preserve">Yet, </w:t>
      </w:r>
      <w:r w:rsidR="00325814" w:rsidRPr="00325814">
        <w:rPr>
          <w:bCs/>
        </w:rPr>
        <w:t xml:space="preserve">an </w:t>
      </w:r>
      <w:r w:rsidR="00086FAA" w:rsidRPr="00325814">
        <w:rPr>
          <w:bCs/>
        </w:rPr>
        <w:t>a</w:t>
      </w:r>
      <w:r w:rsidR="00B874A5" w:rsidRPr="00325814">
        <w:rPr>
          <w:bCs/>
        </w:rPr>
        <w:t>nalysis of claims data from IBM</w:t>
      </w:r>
      <w:r w:rsidR="00B874A5" w:rsidRPr="00325814">
        <w:rPr>
          <w:bCs/>
          <w:vertAlign w:val="superscript"/>
        </w:rPr>
        <w:t>®</w:t>
      </w:r>
      <w:r w:rsidR="00B874A5" w:rsidRPr="00325814">
        <w:rPr>
          <w:bCs/>
        </w:rPr>
        <w:t> </w:t>
      </w:r>
      <w:proofErr w:type="spellStart"/>
      <w:r w:rsidR="00B874A5" w:rsidRPr="00325814">
        <w:rPr>
          <w:bCs/>
        </w:rPr>
        <w:t>MarketScan</w:t>
      </w:r>
      <w:proofErr w:type="spellEnd"/>
      <w:r w:rsidR="00B874A5" w:rsidRPr="00325814">
        <w:rPr>
          <w:bCs/>
          <w:vertAlign w:val="superscript"/>
        </w:rPr>
        <w:t>®</w:t>
      </w:r>
      <w:r w:rsidR="00B874A5" w:rsidRPr="00325814">
        <w:rPr>
          <w:bCs/>
        </w:rPr>
        <w:t xml:space="preserve"> Research Databases showed that of 787 patients with COVID-19 and </w:t>
      </w:r>
      <w:r w:rsidR="00FD67F7">
        <w:rPr>
          <w:bCs/>
        </w:rPr>
        <w:t xml:space="preserve">comorbid </w:t>
      </w:r>
      <w:r w:rsidR="00B874A5" w:rsidRPr="00325814">
        <w:rPr>
          <w:bCs/>
        </w:rPr>
        <w:t xml:space="preserve">immune-mediated conditions treated with immunomodulating therapy, </w:t>
      </w:r>
      <w:r w:rsidR="00325814">
        <w:rPr>
          <w:bCs/>
        </w:rPr>
        <w:t xml:space="preserve">patients who did not experience interruptions in immunomodulator therapy had lower </w:t>
      </w:r>
      <w:r w:rsidR="00325814" w:rsidRPr="00325814">
        <w:rPr>
          <w:bCs/>
        </w:rPr>
        <w:t>o</w:t>
      </w:r>
      <w:r w:rsidR="00B874A5" w:rsidRPr="00325814">
        <w:rPr>
          <w:bCs/>
        </w:rPr>
        <w:t xml:space="preserve">dds of hospitalization </w:t>
      </w:r>
      <w:r w:rsidR="00325814">
        <w:rPr>
          <w:bCs/>
        </w:rPr>
        <w:t xml:space="preserve">compared to patients with interrupted </w:t>
      </w:r>
      <w:r w:rsidR="00B874A5" w:rsidRPr="00325814">
        <w:rPr>
          <w:bCs/>
        </w:rPr>
        <w:t>therapy (</w:t>
      </w:r>
      <w:proofErr w:type="spellStart"/>
      <w:r w:rsidR="00EB010C">
        <w:rPr>
          <w:bCs/>
        </w:rPr>
        <w:t>aOR</w:t>
      </w:r>
      <w:proofErr w:type="spellEnd"/>
      <w:r w:rsidR="00EB010C">
        <w:rPr>
          <w:bCs/>
        </w:rPr>
        <w:t xml:space="preserve"> </w:t>
      </w:r>
      <w:r w:rsidR="00B874A5" w:rsidRPr="00325814">
        <w:rPr>
          <w:bCs/>
        </w:rPr>
        <w:t>0.31</w:t>
      </w:r>
      <w:r w:rsidR="00EB010C">
        <w:rPr>
          <w:bCs/>
        </w:rPr>
        <w:t>,</w:t>
      </w:r>
      <w:r w:rsidR="00B874A5" w:rsidRPr="00325814">
        <w:rPr>
          <w:bCs/>
        </w:rPr>
        <w:t xml:space="preserve"> 95% [0.12-0.80]</w:t>
      </w:r>
      <w:r w:rsidR="00EB010C">
        <w:rPr>
          <w:bCs/>
        </w:rPr>
        <w:t>,</w:t>
      </w:r>
      <w:r w:rsidR="00B874A5" w:rsidRPr="00325814">
        <w:rPr>
          <w:bCs/>
        </w:rPr>
        <w:t xml:space="preserve"> </w:t>
      </w:r>
      <w:r w:rsidR="00EB010C">
        <w:rPr>
          <w:bCs/>
          <w:i/>
          <w:iCs/>
        </w:rPr>
        <w:t>P</w:t>
      </w:r>
      <w:r w:rsidR="00EB010C">
        <w:rPr>
          <w:bCs/>
        </w:rPr>
        <w:t>=</w:t>
      </w:r>
      <w:r w:rsidR="00B874A5" w:rsidRPr="00325814">
        <w:rPr>
          <w:bCs/>
        </w:rPr>
        <w:t>0.02</w:t>
      </w:r>
      <w:r w:rsidR="00EB010C">
        <w:rPr>
          <w:bCs/>
        </w:rPr>
        <w:t>).</w:t>
      </w:r>
      <w:r w:rsidR="00B874A5" w:rsidRPr="00325814">
        <w:rPr>
          <w:bCs/>
        </w:rPr>
        <w:fldChar w:fldCharType="begin"/>
      </w:r>
      <w:r w:rsidR="00C36E45">
        <w:rPr>
          <w:bCs/>
        </w:rPr>
        <w:instrText xml:space="preserve"> ADDIN ZOTERO_ITEM CSL_CITATION {"citationID":"aIpOyeac","properties":{"formattedCitation":"[5]","plainCitation":"[5]","noteIndex":0},"citationItems":[{"id":6806,"uris":["http://zotero.org/users/7657228/items/YCCBT29N"],"itemData":{"id":6806,"type":"article-journal","abstract":"Introduction\nThe impact of the COVID-19 pandemic on routine medical care may result in altered healthcare resource use in patients with immune-mediated conditions. The aim of this study was to determine the impact of treatment interruptions in patients with and without COVID-19 infections who were treated with targeted immunomodulators (TIMs) in the USA.\n\nMethods\nData from the IBM® MarketScan® Research Databases were analyzed in patients with immune-mediated conditions from January 1, 2018, through December 31, 2020. Healthcare resource use (HCRU) including hospitalizations, emergency department (ED) visits, in-person outpatient visits, and respiratory outcomes was assessed in a cohort of patients without COVID-19 who had uninterrupted versus interrupted TIM use. The impact of treatment interruption on HCRU and respiratory outcomes was also evaluated in a cohort of patients with COVID-19. Results from adjusted logistic regression were reported as adjusted odds ratios (aORs) with 95% confidence intervals.\n\nResults\nApproximately 25% of patients in both the COVID-19 (N = 787) and non-COVID-19 cohorts (N = 77,178) experienced interruptions in TIM therapy. In the non-COVID-19 cohort, the likelihood of being hospitalized was 20% less in patients with uninterrupted versus interrupted TIM use (aOR = 0.80, 95% CI 0.71–0.90). Patients with uninterrupted TIM use had a similar likelihood of an ED visit (aOR = 0.99, 95% CI 0.91–1.08) and respiratory outcome (aOR = 0.97, 95% CI 0.71–1.31) versus patients with interrupted TIM use. The likelihood of having an in-person outpatient visit was 87% greater in patients with uninterrupted versus interrupted TIM use (aOR = 1.87, 95% CI 1.81–1.94). Similar findings were observed in the COVID-19 cohort.\n\nConclusion\nThis analysis of real-world claims data showed that uninterrupted TIM use was not associated with an increased likelihood of hospitalizations, ED visits, or negative respiratory outcomes compared to interrupted TIM use among patients with immune-mediated conditions, regardless of COVID-19 diagnosis.\n\nSupplementary Information\nThe online version contains supplementary material available at 10.1007/s12325-021-01906-4.","container-title":"Advances in Therapy","DOI":"10.1007/s12325-021-01906-4","ISSN":"0741-238X","issue":"10","journalAbbreviation":"Adv Ther","note":"PMID: 34515976\nPMCID: PMC8436009","page":"5302-5316","source":"PubMed Central","title":"Healthcare Resource Use in Patients with Immune-Mediated Conditions Treated with Targeted Immunomodulators During COVID-19 Pandemic: A Retrospective Claims Analysis","title-short":"Healthcare Resource Use in Patients with Immune-Mediated Conditions Treated with Targeted Immunomodulators During COVID-19 Pandemic","volume":"38","author":[{"family":"Bergman","given":"Martin"},{"family":"Saffore","given":"Christopher D."},{"family":"Kim","given":"Katherine J."},{"family":"Patel","given":"Pankaj A."},{"family":"Garg","given":"Vishvas"},{"family":"Xuan","given":"Si"},{"family":"Naik","given":"Haley B."}],"issued":{"date-parts":[["2021"]]}}}],"schema":"https://github.com/citation-style-language/schema/raw/master/csl-citation.json"} </w:instrText>
      </w:r>
      <w:r w:rsidR="00B874A5" w:rsidRPr="00325814">
        <w:rPr>
          <w:bCs/>
        </w:rPr>
        <w:fldChar w:fldCharType="separate"/>
      </w:r>
      <w:r w:rsidR="00C36E45">
        <w:t>[5]</w:t>
      </w:r>
      <w:r w:rsidR="00B874A5" w:rsidRPr="00325814">
        <w:rPr>
          <w:bCs/>
        </w:rPr>
        <w:fldChar w:fldCharType="end"/>
      </w:r>
    </w:p>
    <w:p w14:paraId="6F66FAB9" w14:textId="77777777" w:rsidR="00D06D0F" w:rsidRDefault="00D06D0F" w:rsidP="00F42FBD">
      <w:pPr>
        <w:spacing w:line="360" w:lineRule="auto"/>
      </w:pPr>
    </w:p>
    <w:p w14:paraId="77703131" w14:textId="5C4B4FC0" w:rsidR="00612411" w:rsidRPr="006C1633" w:rsidRDefault="00163F7C" w:rsidP="00F42FBD">
      <w:pPr>
        <w:spacing w:line="360" w:lineRule="auto"/>
      </w:pPr>
      <w:r>
        <w:t>Limitations of this study include</w:t>
      </w:r>
      <w:r w:rsidR="0055237D">
        <w:t xml:space="preserve"> small sample size</w:t>
      </w:r>
      <w:r w:rsidR="00D32CB9">
        <w:t xml:space="preserve">, </w:t>
      </w:r>
      <w:r w:rsidR="0055237D">
        <w:t>recall bias</w:t>
      </w:r>
      <w:r w:rsidR="00D32CB9">
        <w:t>, and non-response bias</w:t>
      </w:r>
      <w:r w:rsidR="007E167A">
        <w:t>. Our study population is notable for the underrepresentation of</w:t>
      </w:r>
      <w:r>
        <w:t xml:space="preserve"> </w:t>
      </w:r>
      <w:r w:rsidR="007E1EF8">
        <w:t xml:space="preserve">Black patients, </w:t>
      </w:r>
      <w:r w:rsidR="0032417D">
        <w:t xml:space="preserve">a group known to </w:t>
      </w:r>
      <w:r w:rsidR="00013E59">
        <w:t>be disproportionately affected by both</w:t>
      </w:r>
      <w:r w:rsidR="0032417D">
        <w:t xml:space="preserve"> </w:t>
      </w:r>
      <w:r w:rsidR="007E1EF8">
        <w:t>HS</w:t>
      </w:r>
      <w:r w:rsidR="0032417D">
        <w:fldChar w:fldCharType="begin"/>
      </w:r>
      <w:r w:rsidR="00C36E45">
        <w:instrText xml:space="preserve"> ADDIN ZOTERO_ITEM CSL_CITATION {"citationID":"J1vSFyJh","properties":{"formattedCitation":"[6]","plainCitation":"[6]","noteIndex":0},"citationItems":[{"id":382,"uris":["http://zotero.org/users/7657228/items/K2R6E24T"],"itemData":{"id":382,"type":"article-journal","abstract":"Hidradenitis suppurativa (HS) is a chronic, inflammatory disease affecting approximately 1% of the global population. While age- and sex-specific prevalence of HS is well documented in literature, few studies have explored trends in racial predilections for HS. The objective of this study is to investigate the race-specific prevalence of HS. MEDLINE and EMBASE searches were conducted in the OVID database. Keywords included variations of \"race,\" \"ethnicity,\" \"country,\" \"prevalence,\" and \"Hidradenitis suppurativa.\" Studies were included if they were written in English or French, conducted on human participants, and had data on HS and race-specific prevalence. Meta-analyses, systematic and literature reviews, and irrelevant articles were excluded. Thirty-nine out of 184 articles met the inclusion criteria after abstract and full-text screening. Population distribution was scaled according to country-specific demographics reports. These demographic reports were extracted from each country's national statistics report. The average HS prevalence rates were highest in African American populations (1.3%), lowest in Hispanics/Latinos (0.07%), and intermediate amongst Caucasian populations (0.75%). Total prevalence in all other ethnic groups (0.17%) was minor in comparison to African American and Caucasian populations. Since the highest rates of HS were found among African American population, literature has highlighted the possibility of a genetic etiology in HS development. However, further literature examining race-specific prevalence of HS internationally is required to accurately assess the frequency and underlying etiology of HS among varying racial populations.","container-title":"Journal of Cutaneous Medicine and Surgery","DOI":"10.1177/1203475420972348","ISSN":"1615-7109","journalAbbreviation":"J Cutan Med Surg","language":"eng","note":"PMID: 33174482","page":"1203475420972348","source":"PubMed","title":"Race-Specific Prevalence of Hidradenitis Suppurativa","author":[{"family":"Sachdeva","given":"Muskaan"},{"family":"Shah","given":"Monica"},{"family":"Alavi","given":"Afsaneh"}],"issued":{"date-parts":[["2020",11,11]]}}}],"schema":"https://github.com/citation-style-language/schema/raw/master/csl-citation.json"} </w:instrText>
      </w:r>
      <w:r w:rsidR="0032417D">
        <w:fldChar w:fldCharType="separate"/>
      </w:r>
      <w:r w:rsidR="00C36E45">
        <w:t>[6]</w:t>
      </w:r>
      <w:r w:rsidR="0032417D">
        <w:fldChar w:fldCharType="end"/>
      </w:r>
      <w:r w:rsidR="007E1EF8">
        <w:t xml:space="preserve"> and COVID</w:t>
      </w:r>
      <w:r w:rsidR="00013E59">
        <w:t>-19</w:t>
      </w:r>
      <w:r w:rsidR="007E167A">
        <w:t>.</w:t>
      </w:r>
      <w:r w:rsidR="00AD412F">
        <w:fldChar w:fldCharType="begin"/>
      </w:r>
      <w:r w:rsidR="00C36E45">
        <w:instrText xml:space="preserve"> ADDIN ZOTERO_ITEM CSL_CITATION {"citationID":"K0kcSOD9","properties":{"formattedCitation":"[7]","plainCitation":"[7]","noteIndex":0},"citationItems":[{"id":6811,"uris":["http://zotero.org/users/7657228/items/CWQWYJ3Z"],"itemData":{"id":6811,"type":"article-journal","abstract":"Introduction: Although Black Americans are not substantially more likely to be diagnosed with COVID-19, hospitalization rates and death rates are considerably higher than for White Americans. The aim of this study was to assess the relationship between systemic racism generally, and residential segregation in particular, and racial/ethnic disparities in deaths due to COVID-19.\nMethods: To assess racial disparities in COVID-19 and systemic racism in US states, we calculated descriptive statistics and bivariate Pearson correlations. Using data on deaths through December 2020, we developed a weighted logistic mixed model to assess whether state-level systemic racism generally and residential segregation, in particular, predicted the probability of COVID-19 deaths among Americans, considering key sociodemographic factors.\nResults: Residential segregation is a stronger predictor of COVID-19 deaths among Black Americans, as compared to systemic racism more generally. Looking at the interaction between residential segregation and COVID-19 death rates by race, residential segregation is associated with negative outcomes for Black and White Americans, but disproportionately impacts Black state residents (P&lt;.001), who have 2.14 times higher odds of dying from COVID-19 when residential segregation is increased.\nConclusion: To understand and address disparities in infectious disease, researchers and public health practitioners should acknowledge how different forms of systemic racism shape health outcomes in the United States. More attention should be given to the mechanisms by which infectious disease pandemics exacerbate health disparities in areas of high residential segregation and should inform more targeted health policies. Such policy changes stand to make all American communities more resilient in the face of new and emerging infectious diseases.","container-title":"Ethnicity &amp; Disease","DOI":"10.18865/ed.32.1.31","ISSN":"1945-0826","issue":"1","journalAbbreviation":"Ethn Dis","language":"eng","note":"PMID: 35106042\nPMCID: PMC8785866","page":"31-38","source":"PubMed","title":"The Relationship between Systemic Racism, Residential Segregation, and Racial/Ethnic Disparities in COVID-19 Deaths in the United States","volume":"32","author":[{"family":"Franz","given":"Berkeley"},{"family":"Parker","given":"Ben"},{"family":"Milner","given":"Adrienne"},{"family":"Braddock","given":"Jomills H."}],"issued":{"date-parts":[["2022"]]}}}],"schema":"https://github.com/citation-style-language/schema/raw/master/csl-citation.json"} </w:instrText>
      </w:r>
      <w:r w:rsidR="00AD412F">
        <w:fldChar w:fldCharType="separate"/>
      </w:r>
      <w:r w:rsidR="00C36E45">
        <w:t>[7]</w:t>
      </w:r>
      <w:r w:rsidR="00AD412F">
        <w:fldChar w:fldCharType="end"/>
      </w:r>
      <w:r w:rsidR="006C1633">
        <w:t xml:space="preserve"> </w:t>
      </w:r>
      <w:r w:rsidR="00215751">
        <w:rPr>
          <w:bCs/>
        </w:rPr>
        <w:t>For example, o</w:t>
      </w:r>
      <w:r w:rsidR="00215751" w:rsidRPr="006C1633">
        <w:rPr>
          <w:bCs/>
        </w:rPr>
        <w:t>ne study of 7,361 patients treated with biologics and 74,910 matched controls showed that Black patients on biologics had greater risk of COVID-19 infection compared to White patients on biologics (</w:t>
      </w:r>
      <w:proofErr w:type="spellStart"/>
      <w:r w:rsidR="00215751" w:rsidRPr="006C1633">
        <w:rPr>
          <w:bCs/>
        </w:rPr>
        <w:t>aOR</w:t>
      </w:r>
      <w:proofErr w:type="spellEnd"/>
      <w:r w:rsidR="00215751" w:rsidRPr="006C1633">
        <w:rPr>
          <w:bCs/>
        </w:rPr>
        <w:t xml:space="preserve"> 2.10, 95% CI [1.73-2.56], </w:t>
      </w:r>
      <w:r w:rsidR="00215751" w:rsidRPr="006C1633">
        <w:rPr>
          <w:bCs/>
          <w:i/>
          <w:iCs/>
        </w:rPr>
        <w:t>P</w:t>
      </w:r>
      <w:r w:rsidR="00215751" w:rsidRPr="006C1633">
        <w:rPr>
          <w:bCs/>
        </w:rPr>
        <w:t>&lt;0.001).</w:t>
      </w:r>
      <w:r w:rsidR="00215751" w:rsidRPr="006C1633">
        <w:rPr>
          <w:bCs/>
        </w:rPr>
        <w:fldChar w:fldCharType="begin"/>
      </w:r>
      <w:r w:rsidR="00C36E45">
        <w:rPr>
          <w:bCs/>
        </w:rPr>
        <w:instrText xml:space="preserve"> ADDIN ZOTERO_ITEM CSL_CITATION {"citationID":"vfukFxf4","properties":{"formattedCitation":"[8]","plainCitation":"[8]","noteIndex":0},"citationItems":[{"id":6802,"uris":["http://zotero.org/users/7657228/items/9VITUTS8"],"itemData":{"id":6802,"type":"article-journal","container-title":"Journal of the American Academy of Dermatology","DOI":"10.1016/j.jaad.2021.08.065","ISSN":"0190-9622","issue":"1","journalAbbreviation":"Journal of the American Academy of Dermatology","language":"en","page":"252-255","source":"ScienceDirect","title":"Immunosuppressive biologics did not increase the risk of COVID-19 or subsequent mortality: A retrospective matched cohort study from Massachusetts","title-short":"Immunosuppressive biologics did not increase the risk of COVID-19 or subsequent mortality","volume":"86","author":[{"family":"Pahalyants","given":"Vartan"},{"family":"Murphy","given":"William S."},{"family":"Klebanov","given":"Nikolai"},{"family":"Lu","given":"Chenyue"},{"family":"Theodosakis","given":"Nicholas"},{"family":"Klevens","given":"R. Monina"},{"family":"Estir","given":"Hossein"},{"family":"Lilly","given":"Evelyn"},{"family":"Asgari","given":"Maryam"},{"family":"Semenov","given":"Yevgeniy R."}],"issued":{"date-parts":[["2022",1,1]]}}}],"schema":"https://github.com/citation-style-language/schema/raw/master/csl-citation.json"} </w:instrText>
      </w:r>
      <w:r w:rsidR="00215751" w:rsidRPr="006C1633">
        <w:rPr>
          <w:bCs/>
        </w:rPr>
        <w:fldChar w:fldCharType="separate"/>
      </w:r>
      <w:r w:rsidR="00C36E45">
        <w:t>[8]</w:t>
      </w:r>
      <w:r w:rsidR="00215751" w:rsidRPr="006C1633">
        <w:rPr>
          <w:bCs/>
        </w:rPr>
        <w:fldChar w:fldCharType="end"/>
      </w:r>
      <w:r w:rsidR="00215751">
        <w:t xml:space="preserve"> Thus our </w:t>
      </w:r>
      <w:r w:rsidR="00D3245C">
        <w:t xml:space="preserve">findings </w:t>
      </w:r>
      <w:r w:rsidR="00215751">
        <w:t xml:space="preserve">may </w:t>
      </w:r>
      <w:r w:rsidR="00D3245C">
        <w:t>not</w:t>
      </w:r>
      <w:r w:rsidR="00215751">
        <w:t xml:space="preserve"> be</w:t>
      </w:r>
      <w:r w:rsidR="00D3245C">
        <w:t xml:space="preserve"> generalizable to </w:t>
      </w:r>
      <w:r w:rsidR="00242664">
        <w:t xml:space="preserve">groups with high social and structural risk for </w:t>
      </w:r>
      <w:r w:rsidR="00152D99">
        <w:t>increased COVID19 infection.</w:t>
      </w:r>
      <w:r w:rsidR="00123EC2">
        <w:fldChar w:fldCharType="begin"/>
      </w:r>
      <w:r w:rsidR="00C36E45">
        <w:instrText xml:space="preserve"> ADDIN ZOTERO_ITEM CSL_CITATION {"citationID":"w77R9eNr","properties":{"formattedCitation":"[7]","plainCitation":"[7]","noteIndex":0},"citationItems":[{"id":6811,"uris":["http://zotero.org/users/7657228/items/CWQWYJ3Z"],"itemData":{"id":6811,"type":"article-journal","abstract":"Introduction: Although Black Americans are not substantially more likely to be diagnosed with COVID-19, hospitalization rates and death rates are considerably higher than for White Americans. The aim of this study was to assess the relationship between systemic racism generally, and residential segregation in particular, and racial/ethnic disparities in deaths due to COVID-19.\nMethods: To assess racial disparities in COVID-19 and systemic racism in US states, we calculated descriptive statistics and bivariate Pearson correlations. Using data on deaths through December 2020, we developed a weighted logistic mixed model to assess whether state-level systemic racism generally and residential segregation, in particular, predicted the probability of COVID-19 deaths among Americans, considering key sociodemographic factors.\nResults: Residential segregation is a stronger predictor of COVID-19 deaths among Black Americans, as compared to systemic racism more generally. Looking at the interaction between residential segregation and COVID-19 death rates by race, residential segregation is associated with negative outcomes for Black and White Americans, but disproportionately impacts Black state residents (P&lt;.001), who have 2.14 times higher odds of dying from COVID-19 when residential segregation is increased.\nConclusion: To understand and address disparities in infectious disease, researchers and public health practitioners should acknowledge how different forms of systemic racism shape health outcomes in the United States. More attention should be given to the mechanisms by which infectious disease pandemics exacerbate health disparities in areas of high residential segregation and should inform more targeted health policies. Such policy changes stand to make all American communities more resilient in the face of new and emerging infectious diseases.","container-title":"Ethnicity &amp; Disease","DOI":"10.18865/ed.32.1.31","ISSN":"1945-0826","issue":"1","journalAbbreviation":"Ethn Dis","language":"eng","note":"PMID: 35106042\nPMCID: PMC8785866","page":"31-38","source":"PubMed","title":"The Relationship between Systemic Racism, Residential Segregation, and Racial/Ethnic Disparities in COVID-19 Deaths in the United States","volume":"32","author":[{"family":"Franz","given":"Berkeley"},{"family":"Parker","given":"Ben"},{"family":"Milner","given":"Adrienne"},{"family":"Braddock","given":"Jomills H."}],"issued":{"date-parts":[["2022"]]}}}],"schema":"https://github.com/citation-style-language/schema/raw/master/csl-citation.json"} </w:instrText>
      </w:r>
      <w:r w:rsidR="00123EC2">
        <w:fldChar w:fldCharType="separate"/>
      </w:r>
      <w:r w:rsidR="00C36E45">
        <w:t>[7]</w:t>
      </w:r>
      <w:r w:rsidR="00123EC2">
        <w:fldChar w:fldCharType="end"/>
      </w:r>
      <w:r w:rsidR="00152D99">
        <w:t xml:space="preserve"> </w:t>
      </w:r>
    </w:p>
    <w:p w14:paraId="46F15253" w14:textId="77777777" w:rsidR="006D6102" w:rsidRDefault="006D6102" w:rsidP="00F42FBD">
      <w:pPr>
        <w:spacing w:line="360" w:lineRule="auto"/>
      </w:pPr>
    </w:p>
    <w:p w14:paraId="23B71DFD" w14:textId="6D7A9247" w:rsidR="0055237D" w:rsidRPr="007D083A" w:rsidRDefault="00DD2ABC" w:rsidP="00F42FBD">
      <w:pPr>
        <w:spacing w:line="360" w:lineRule="auto"/>
        <w:rPr>
          <w:bCs/>
        </w:rPr>
      </w:pPr>
      <w:r>
        <w:t>Considering</w:t>
      </w:r>
      <w:r w:rsidR="00685852">
        <w:t xml:space="preserve"> the prolonged duration of the pandemic, o</w:t>
      </w:r>
      <w:r w:rsidR="00244DA2">
        <w:t>ur findings</w:t>
      </w:r>
      <w:r w:rsidR="006D6102">
        <w:t xml:space="preserve"> from the largest international cohort of HS patients with COVID-19 infection</w:t>
      </w:r>
      <w:r w:rsidR="00DD307A">
        <w:t xml:space="preserve"> </w:t>
      </w:r>
      <w:r w:rsidR="00BF3196">
        <w:t xml:space="preserve">offer </w:t>
      </w:r>
      <w:r w:rsidR="00685852">
        <w:t>meaningful</w:t>
      </w:r>
      <w:r w:rsidR="00DD307A">
        <w:t xml:space="preserve"> </w:t>
      </w:r>
      <w:r w:rsidR="00620D78">
        <w:t xml:space="preserve">support </w:t>
      </w:r>
      <w:r w:rsidR="00BF3196">
        <w:t>to</w:t>
      </w:r>
      <w:r w:rsidR="00B30DD3">
        <w:t xml:space="preserve"> </w:t>
      </w:r>
      <w:r w:rsidR="00320F39">
        <w:t>continu</w:t>
      </w:r>
      <w:r w:rsidR="00BF3196">
        <w:t>e</w:t>
      </w:r>
      <w:r w:rsidR="00320F39">
        <w:t xml:space="preserve"> biologic therapy </w:t>
      </w:r>
      <w:r w:rsidR="004A5D64">
        <w:t>for HS patients</w:t>
      </w:r>
      <w:r w:rsidR="00BF3196">
        <w:t xml:space="preserve">. </w:t>
      </w:r>
    </w:p>
    <w:p w14:paraId="5FBCDD33" w14:textId="77777777" w:rsidR="004F0489" w:rsidRDefault="004F0489" w:rsidP="00F42FBD">
      <w:pPr>
        <w:spacing w:line="360" w:lineRule="auto"/>
        <w:sectPr w:rsidR="004F0489" w:rsidSect="00DD0479">
          <w:pgSz w:w="11906" w:h="16838"/>
          <w:pgMar w:top="1440" w:right="1440" w:bottom="1800" w:left="1440" w:header="706" w:footer="706" w:gutter="0"/>
          <w:lnNumType w:countBy="1" w:restart="continuous"/>
          <w:cols w:space="708"/>
          <w:docGrid w:linePitch="360"/>
        </w:sectPr>
      </w:pPr>
      <w:bookmarkStart w:id="1" w:name="_Hlk10123930"/>
    </w:p>
    <w:p w14:paraId="4A9E3371" w14:textId="0BFB08ED" w:rsidR="003F40B9" w:rsidRDefault="003F40B9" w:rsidP="00F42FBD">
      <w:pPr>
        <w:spacing w:line="360" w:lineRule="auto"/>
      </w:pPr>
    </w:p>
    <w:bookmarkEnd w:id="1"/>
    <w:p w14:paraId="08A446EA" w14:textId="3602CE08" w:rsidR="00613CF1" w:rsidRPr="008E5A56" w:rsidRDefault="00613CF1" w:rsidP="008E5A56">
      <w:pPr>
        <w:spacing w:after="200" w:line="360" w:lineRule="auto"/>
      </w:pPr>
      <w:r w:rsidRPr="00613CF1">
        <w:rPr>
          <w:b/>
          <w:bCs/>
        </w:rPr>
        <w:t>Statements</w:t>
      </w:r>
    </w:p>
    <w:p w14:paraId="463AA6AF" w14:textId="77777777" w:rsidR="00613CF1" w:rsidRPr="00613CF1" w:rsidRDefault="00613CF1" w:rsidP="00F42FBD">
      <w:pPr>
        <w:spacing w:line="360" w:lineRule="auto"/>
        <w:rPr>
          <w:b/>
          <w:bCs/>
        </w:rPr>
      </w:pPr>
      <w:r w:rsidRPr="00613CF1">
        <w:rPr>
          <w:b/>
          <w:bCs/>
        </w:rPr>
        <w:t>Conflict of Interest Statement</w:t>
      </w:r>
    </w:p>
    <w:p w14:paraId="5CE2DF1A" w14:textId="77777777" w:rsidR="00F42FBD" w:rsidRPr="001E5C12" w:rsidRDefault="00F42FBD" w:rsidP="00F42FBD">
      <w:pPr>
        <w:spacing w:line="360" w:lineRule="auto"/>
      </w:pPr>
      <w:r w:rsidRPr="00D221DD">
        <w:t xml:space="preserve">Dr Alhusayen has received fees for participating in advisory boards for AbbVie, Janssen, and Novartis; has received consulting fees from Sandoz, Merck, and Boehringer Ingelheim; and is a board member of the Canadian Hidradenitis Suppurativa Foundation. </w:t>
      </w:r>
      <w:r w:rsidRPr="001E5C12">
        <w:t xml:space="preserve">Author Ingram has received fees for participating in advisory boards for </w:t>
      </w:r>
      <w:proofErr w:type="spellStart"/>
      <w:r w:rsidRPr="001E5C12">
        <w:t>Viela</w:t>
      </w:r>
      <w:proofErr w:type="spellEnd"/>
      <w:r w:rsidRPr="001E5C12">
        <w:t xml:space="preserve"> Bio and </w:t>
      </w:r>
      <w:proofErr w:type="spellStart"/>
      <w:r w:rsidRPr="001E5C12">
        <w:t>Kymera</w:t>
      </w:r>
      <w:proofErr w:type="spellEnd"/>
      <w:r w:rsidRPr="001E5C12">
        <w:t xml:space="preserve"> Therapeutics; consulting fees from UCB Pharma, Novartis, </w:t>
      </w:r>
      <w:proofErr w:type="spellStart"/>
      <w:r w:rsidRPr="001E5C12">
        <w:t>ChemoCentryx</w:t>
      </w:r>
      <w:proofErr w:type="spellEnd"/>
      <w:r w:rsidRPr="001E5C12">
        <w:t xml:space="preserve">, and Boehringer Ingelheim; editorial honorarium as BJD Editor-in-Chief; royalties as chapter author for UpToDate; and </w:t>
      </w:r>
      <w:r w:rsidRPr="001E5C12">
        <w:lastRenderedPageBreak/>
        <w:t xml:space="preserve">co-copyright holder for the </w:t>
      </w:r>
      <w:proofErr w:type="spellStart"/>
      <w:r w:rsidRPr="001E5C12">
        <w:t>HiSQOL</w:t>
      </w:r>
      <w:proofErr w:type="spellEnd"/>
      <w:r w:rsidRPr="001E5C12">
        <w:t xml:space="preserve">, HS Patient Global Assessment, HS Investigator Global Assessment. He received travel expenses and a speaker's honorarium from UCB Pharma. </w:t>
      </w:r>
      <w:r w:rsidRPr="00B54308">
        <w:t>His department receives income from copyright of the Dermatology Life Quality Instrument (DLQI) and related instruments.</w:t>
      </w:r>
      <w:r>
        <w:t xml:space="preserve"> </w:t>
      </w:r>
      <w:r w:rsidRPr="001E5C12">
        <w:t xml:space="preserve">Dr Lowes has received fees for participating in advisory boards for AbbVie, Janssen, </w:t>
      </w:r>
      <w:proofErr w:type="spellStart"/>
      <w:r w:rsidRPr="001E5C12">
        <w:t>Viela</w:t>
      </w:r>
      <w:proofErr w:type="spellEnd"/>
      <w:r w:rsidRPr="001E5C12">
        <w:t xml:space="preserve"> Bio and consulting fees from Incyte, BSN, </w:t>
      </w:r>
      <w:proofErr w:type="spellStart"/>
      <w:r w:rsidRPr="001E5C12">
        <w:t>XBiotech</w:t>
      </w:r>
      <w:proofErr w:type="spellEnd"/>
      <w:r w:rsidRPr="001E5C12">
        <w:t xml:space="preserve">, </w:t>
      </w:r>
      <w:proofErr w:type="spellStart"/>
      <w:r w:rsidRPr="001E5C12">
        <w:t>Kymera</w:t>
      </w:r>
      <w:proofErr w:type="spellEnd"/>
      <w:r w:rsidRPr="001E5C12">
        <w:t xml:space="preserve">, and </w:t>
      </w:r>
      <w:proofErr w:type="spellStart"/>
      <w:r w:rsidRPr="001E5C12">
        <w:t>Almirall</w:t>
      </w:r>
      <w:proofErr w:type="spellEnd"/>
      <w:r w:rsidRPr="001E5C12">
        <w:t xml:space="preserve"> and is the Vice President of the US Hidradenitis Suppurativa Foundation. Author Guilbault has received compensation for patient advisory board from Boehringer Ingelheim and is a board member of the US HS Foundation and Hope for HS. Author Vi</w:t>
      </w:r>
      <w:r>
        <w:t>l</w:t>
      </w:r>
      <w:r w:rsidRPr="001E5C12">
        <w:t>lumsen has received consulting fee</w:t>
      </w:r>
      <w:r>
        <w:t>s</w:t>
      </w:r>
      <w:r w:rsidRPr="001E5C12">
        <w:t xml:space="preserve"> f</w:t>
      </w:r>
      <w:r>
        <w:t>r</w:t>
      </w:r>
      <w:r w:rsidRPr="001E5C12">
        <w:t>o</w:t>
      </w:r>
      <w:r>
        <w:t>m</w:t>
      </w:r>
      <w:r w:rsidRPr="001E5C12">
        <w:t xml:space="preserve"> Boehringer Ingelheim</w:t>
      </w:r>
      <w:r>
        <w:t>,</w:t>
      </w:r>
      <w:r w:rsidRPr="001E5C12">
        <w:t xml:space="preserve"> UCB</w:t>
      </w:r>
      <w:r>
        <w:t xml:space="preserve"> and Novartis</w:t>
      </w:r>
      <w:r w:rsidRPr="001E5C12">
        <w:t xml:space="preserve"> and is the President of </w:t>
      </w:r>
      <w:proofErr w:type="spellStart"/>
      <w:r w:rsidRPr="001E5C12">
        <w:t>Patientforeningen</w:t>
      </w:r>
      <w:proofErr w:type="spellEnd"/>
      <w:r w:rsidRPr="001E5C12">
        <w:t xml:space="preserve"> HS </w:t>
      </w:r>
      <w:proofErr w:type="spellStart"/>
      <w:r w:rsidRPr="001E5C12">
        <w:t>Danmark</w:t>
      </w:r>
      <w:proofErr w:type="spellEnd"/>
      <w:r>
        <w:t xml:space="preserve"> </w:t>
      </w:r>
      <w:r w:rsidRPr="001E5C12">
        <w:t>and</w:t>
      </w:r>
      <w:r>
        <w:t xml:space="preserve"> </w:t>
      </w:r>
      <w:r w:rsidRPr="001E5C12">
        <w:t xml:space="preserve">co-copyright holder for the </w:t>
      </w:r>
      <w:proofErr w:type="spellStart"/>
      <w:r w:rsidRPr="001E5C12">
        <w:t>HiSQOL</w:t>
      </w:r>
      <w:proofErr w:type="spellEnd"/>
      <w:r w:rsidRPr="001E5C12">
        <w:t xml:space="preserve">, HS Patient Global Assessment, HS Investigator Global Assessment. Dr Naik has received grant support from AbbVie, consulting fees from 23andme, advisory board fees from Invitrogen </w:t>
      </w:r>
      <w:proofErr w:type="spellStart"/>
      <w:r w:rsidRPr="001E5C12">
        <w:t>Biovitrum</w:t>
      </w:r>
      <w:proofErr w:type="spellEnd"/>
      <w:r w:rsidRPr="001E5C12">
        <w:t xml:space="preserve">; has served as an investigator for Pfizer; and is a board member of the US Hidradenitis Suppurativa Foundation. Dr Marzano and Authors </w:t>
      </w:r>
      <w:r>
        <w:t xml:space="preserve">Williams, Kudlinski, </w:t>
      </w:r>
      <w:r w:rsidRPr="001E5C12">
        <w:t>Paul</w:t>
      </w:r>
      <w:r>
        <w:t>,</w:t>
      </w:r>
      <w:r w:rsidRPr="001E5C12">
        <w:t xml:space="preserve"> and Yannuzzi have no conflicts of interest to declare.</w:t>
      </w:r>
    </w:p>
    <w:p w14:paraId="05C92636" w14:textId="4E97FDF9" w:rsidR="00613CF1" w:rsidRDefault="00613CF1" w:rsidP="00F42FBD">
      <w:pPr>
        <w:spacing w:line="360" w:lineRule="auto"/>
        <w:rPr>
          <w:b/>
          <w:bCs/>
        </w:rPr>
      </w:pPr>
    </w:p>
    <w:p w14:paraId="076C29FE" w14:textId="4A4204FC" w:rsidR="00613CF1" w:rsidRDefault="00613CF1" w:rsidP="00F42FBD">
      <w:pPr>
        <w:spacing w:line="360" w:lineRule="auto"/>
        <w:rPr>
          <w:b/>
          <w:bCs/>
        </w:rPr>
      </w:pPr>
      <w:r w:rsidRPr="00613CF1">
        <w:rPr>
          <w:b/>
          <w:bCs/>
        </w:rPr>
        <w:t xml:space="preserve">Funding </w:t>
      </w:r>
      <w:r>
        <w:rPr>
          <w:b/>
          <w:bCs/>
        </w:rPr>
        <w:t>S</w:t>
      </w:r>
      <w:r w:rsidRPr="00613CF1">
        <w:rPr>
          <w:b/>
          <w:bCs/>
        </w:rPr>
        <w:t>ources</w:t>
      </w:r>
    </w:p>
    <w:p w14:paraId="1D55B4A7" w14:textId="2197CB17" w:rsidR="00613CF1" w:rsidRPr="00F42FBD" w:rsidRDefault="00613CF1" w:rsidP="00F42FBD">
      <w:pPr>
        <w:spacing w:line="360" w:lineRule="auto"/>
      </w:pPr>
      <w:r w:rsidRPr="00F42FBD">
        <w:t>Dr. Naik is supported by the National Institutes of Health (NIAMS K</w:t>
      </w:r>
      <w:r w:rsidR="009656C3">
        <w:t>23</w:t>
      </w:r>
      <w:r w:rsidRPr="00F42FBD">
        <w:t xml:space="preserve"> AR074531). Study recruitment was supported by the US and Canadian Hidradenitis Suppurativa Foundation</w:t>
      </w:r>
      <w:r w:rsidR="00F42FBD">
        <w:t>.</w:t>
      </w:r>
    </w:p>
    <w:p w14:paraId="37F717B8" w14:textId="6BF4E2C9" w:rsidR="00613CF1" w:rsidRDefault="00613CF1" w:rsidP="00F42FBD">
      <w:pPr>
        <w:spacing w:line="360" w:lineRule="auto"/>
        <w:rPr>
          <w:b/>
          <w:bCs/>
        </w:rPr>
      </w:pPr>
    </w:p>
    <w:p w14:paraId="0B709D5B" w14:textId="77777777" w:rsidR="00F42FBD" w:rsidRPr="00F42FBD" w:rsidRDefault="00F42FBD" w:rsidP="00F42FBD">
      <w:pPr>
        <w:spacing w:line="360" w:lineRule="auto"/>
        <w:rPr>
          <w:b/>
          <w:bCs/>
        </w:rPr>
      </w:pPr>
      <w:r w:rsidRPr="00F42FBD">
        <w:rPr>
          <w:b/>
          <w:bCs/>
        </w:rPr>
        <w:t>Author Contributions</w:t>
      </w:r>
    </w:p>
    <w:p w14:paraId="4F5E1C8A" w14:textId="70486A22" w:rsidR="005D605F" w:rsidRDefault="000E450F" w:rsidP="00E34A36">
      <w:pPr>
        <w:spacing w:line="360" w:lineRule="auto"/>
      </w:pPr>
      <w:r>
        <w:t xml:space="preserve">J.C.W. led </w:t>
      </w:r>
      <w:r w:rsidR="008B166D">
        <w:t xml:space="preserve">manuscript writing, review, and editing, and supported formal analysis. </w:t>
      </w:r>
      <w:r w:rsidR="00DB6934">
        <w:t>R.A., J.R.I.</w:t>
      </w:r>
      <w:r w:rsidR="006C365C">
        <w:t>, M.A.L., A.V.M., and B.V. c</w:t>
      </w:r>
      <w:r w:rsidR="00DB6934">
        <w:t>ontributed a supporting role in study c</w:t>
      </w:r>
      <w:r w:rsidR="00B1738F" w:rsidRPr="00B1738F">
        <w:t>onceptualization</w:t>
      </w:r>
      <w:r w:rsidR="00DB6934">
        <w:t>, d</w:t>
      </w:r>
      <w:r w:rsidR="00B1738F" w:rsidRPr="00B1738F">
        <w:t>ata curation</w:t>
      </w:r>
      <w:r w:rsidR="00DB6934">
        <w:t>, m</w:t>
      </w:r>
      <w:r w:rsidR="00B1738F" w:rsidRPr="00B1738F">
        <w:t>ethodology</w:t>
      </w:r>
      <w:r w:rsidR="00DB6934">
        <w:t xml:space="preserve">, and manuscript </w:t>
      </w:r>
      <w:r w:rsidR="00B1738F" w:rsidRPr="00B1738F">
        <w:t xml:space="preserve">review </w:t>
      </w:r>
      <w:r w:rsidR="00DB6934">
        <w:t>and</w:t>
      </w:r>
      <w:r w:rsidR="00B1738F" w:rsidRPr="00B1738F">
        <w:t xml:space="preserve"> editing</w:t>
      </w:r>
      <w:r w:rsidR="00DB6934">
        <w:t>.</w:t>
      </w:r>
      <w:r w:rsidR="000D5E8A">
        <w:t xml:space="preserve"> S.G. and C.Y. contributed a supporting role in study c</w:t>
      </w:r>
      <w:r w:rsidR="000D5E8A" w:rsidRPr="00B1738F">
        <w:t>onceptualization</w:t>
      </w:r>
      <w:r w:rsidR="000D5E8A">
        <w:t>, d</w:t>
      </w:r>
      <w:r w:rsidR="000D5E8A" w:rsidRPr="00B1738F">
        <w:t>ata curation</w:t>
      </w:r>
      <w:r w:rsidR="000D5E8A">
        <w:t>, and m</w:t>
      </w:r>
      <w:r w:rsidR="000D5E8A" w:rsidRPr="00B1738F">
        <w:t>ethodology</w:t>
      </w:r>
      <w:r w:rsidR="000D5E8A">
        <w:t xml:space="preserve">. N.H. led formal analysis. M.V.K. </w:t>
      </w:r>
      <w:r w:rsidR="006F6C3E">
        <w:t xml:space="preserve">supported formal analysis and led data curation and project administration. M.P. supported data curation and project administration. H.B.N. led </w:t>
      </w:r>
      <w:r>
        <w:t>study conceptualization, methodology, funding acquisition, investigation, resources, and supervision, and supported data curation, formal analysis, project administration, and manuscript review and editing.</w:t>
      </w:r>
    </w:p>
    <w:p w14:paraId="251C7B9C" w14:textId="77777777" w:rsidR="00E34A36" w:rsidRDefault="00E34A36" w:rsidP="00E34A36">
      <w:pPr>
        <w:spacing w:line="360" w:lineRule="auto"/>
      </w:pPr>
    </w:p>
    <w:p w14:paraId="7E7B0F40" w14:textId="40386A98" w:rsidR="00741FAB" w:rsidRPr="00F42FBD" w:rsidRDefault="00741FAB" w:rsidP="00F42FBD">
      <w:pPr>
        <w:spacing w:after="200" w:line="360" w:lineRule="auto"/>
        <w:rPr>
          <w:rFonts w:eastAsiaTheme="majorEastAsia" w:cstheme="majorBidi"/>
          <w:b/>
          <w:bCs/>
          <w:sz w:val="28"/>
          <w:szCs w:val="28"/>
        </w:rPr>
      </w:pPr>
      <w:r w:rsidRPr="00F42FBD">
        <w:rPr>
          <w:b/>
          <w:bCs/>
        </w:rPr>
        <w:t>References</w:t>
      </w:r>
    </w:p>
    <w:p w14:paraId="43B71C04" w14:textId="77777777" w:rsidR="00C36E45" w:rsidRPr="00C36E45" w:rsidRDefault="00EB5EA9" w:rsidP="00C36E45">
      <w:pPr>
        <w:pStyle w:val="Bibliography"/>
      </w:pPr>
      <w:r>
        <w:fldChar w:fldCharType="begin"/>
      </w:r>
      <w:r w:rsidR="00C36E45">
        <w:instrText xml:space="preserve"> ADDIN ZOTERO_BIBL {"uncited":[],"omitted":[],"custom":[]} CSL_BIBLIOGRAPHY </w:instrText>
      </w:r>
      <w:r>
        <w:fldChar w:fldCharType="separate"/>
      </w:r>
      <w:r w:rsidR="00C36E45" w:rsidRPr="00C36E45">
        <w:t xml:space="preserve">1 </w:t>
      </w:r>
      <w:r w:rsidR="00C36E45" w:rsidRPr="00C36E45">
        <w:tab/>
        <w:t xml:space="preserve">Naik HB, Alhusayen R, Frew J, Guilbault S, Hills NK, Ingram JR, et al. Biologic therapy is not associated with increased COVID-19 severity in patients with hidradenitis </w:t>
      </w:r>
      <w:r w:rsidR="00C36E45" w:rsidRPr="00C36E45">
        <w:lastRenderedPageBreak/>
        <w:t xml:space="preserve">suppurativa: Initial findings from the Global Hidradenitis Suppurativa COVID-19 Registry. J Am Acad Dermatol. 2022 Jan;86(1):249–52. </w:t>
      </w:r>
    </w:p>
    <w:p w14:paraId="62BAAC7A" w14:textId="77777777" w:rsidR="00C36E45" w:rsidRPr="00C36E45" w:rsidRDefault="00C36E45" w:rsidP="00C36E45">
      <w:pPr>
        <w:pStyle w:val="Bibliography"/>
      </w:pPr>
      <w:r w:rsidRPr="00C36E45">
        <w:t xml:space="preserve">2 </w:t>
      </w:r>
      <w:r w:rsidRPr="00C36E45">
        <w:tab/>
        <w:t xml:space="preserve">Benesh G, Andriano TM, Babbush KM, Hosgood HD, Cohen SR. Impact of Treatment With TNF-α Inhibitors for Hidradenitis Suppurativa During the COVID-19 Pandemic. J Cutan Med Surg. 2021 Jul;25(4):446–8. </w:t>
      </w:r>
    </w:p>
    <w:p w14:paraId="2E77BB28" w14:textId="77777777" w:rsidR="00C36E45" w:rsidRPr="00C36E45" w:rsidRDefault="00C36E45" w:rsidP="00C36E45">
      <w:pPr>
        <w:pStyle w:val="Bibliography"/>
      </w:pPr>
      <w:r w:rsidRPr="00C36E45">
        <w:t xml:space="preserve">3 </w:t>
      </w:r>
      <w:r w:rsidRPr="00C36E45">
        <w:tab/>
        <w:t xml:space="preserve">Geisen UM, Sümbül M, Tran F, Berner DK, Reid HM, Vullriede L, et al. Humoral protection to SARS-CoV2 declines faster in patients on TNF alpha blocking therapies. RMD Open. 2021 Dec;7(3):e002008. </w:t>
      </w:r>
    </w:p>
    <w:p w14:paraId="4253CA84" w14:textId="77777777" w:rsidR="00C36E45" w:rsidRPr="00C36E45" w:rsidRDefault="00C36E45" w:rsidP="00C36E45">
      <w:pPr>
        <w:pStyle w:val="Bibliography"/>
      </w:pPr>
      <w:r w:rsidRPr="00C36E45">
        <w:t xml:space="preserve">4 </w:t>
      </w:r>
      <w:r w:rsidRPr="00C36E45">
        <w:tab/>
        <w:t xml:space="preserve">Mahil SK, Dand N, Mason KJ, Yiu ZZN, Tsakok T, Meynell F, et al. Factors associated with adverse COVID-19 outcomes in patients with psoriasis—insights from a global registry–based study. J Allergy Clin Immunol. 2021 Jan;147(1):60–71. </w:t>
      </w:r>
    </w:p>
    <w:p w14:paraId="238D13C1" w14:textId="77777777" w:rsidR="00C36E45" w:rsidRPr="00C36E45" w:rsidRDefault="00C36E45" w:rsidP="00C36E45">
      <w:pPr>
        <w:pStyle w:val="Bibliography"/>
      </w:pPr>
      <w:r w:rsidRPr="00C36E45">
        <w:t xml:space="preserve">5 </w:t>
      </w:r>
      <w:r w:rsidRPr="00C36E45">
        <w:tab/>
        <w:t xml:space="preserve">Bergman M, Saffore CD, Kim KJ, Patel PA, Garg V, Xuan S, et al. Healthcare Resource Use in Patients with Immune-Mediated Conditions Treated with Targeted Immunomodulators During COVID-19 Pandemic: A Retrospective Claims Analysis. Adv Ther. 2021;38(10):5302–16. </w:t>
      </w:r>
    </w:p>
    <w:p w14:paraId="763B98DE" w14:textId="77777777" w:rsidR="00C36E45" w:rsidRPr="00C36E45" w:rsidRDefault="00C36E45" w:rsidP="00C36E45">
      <w:pPr>
        <w:pStyle w:val="Bibliography"/>
      </w:pPr>
      <w:r w:rsidRPr="00C36E45">
        <w:t xml:space="preserve">6 </w:t>
      </w:r>
      <w:r w:rsidRPr="00C36E45">
        <w:tab/>
        <w:t xml:space="preserve">Sachdeva M, Shah M, Alavi A. Race-Specific Prevalence of Hidradenitis Suppurativa. J Cutan Med Surg. 2020 Nov;1203475420972348. </w:t>
      </w:r>
    </w:p>
    <w:p w14:paraId="676480F8" w14:textId="77777777" w:rsidR="00C36E45" w:rsidRPr="00C36E45" w:rsidRDefault="00C36E45" w:rsidP="00C36E45">
      <w:pPr>
        <w:pStyle w:val="Bibliography"/>
      </w:pPr>
      <w:r w:rsidRPr="00C36E45">
        <w:t xml:space="preserve">7 </w:t>
      </w:r>
      <w:r w:rsidRPr="00C36E45">
        <w:tab/>
        <w:t xml:space="preserve">Franz B, Parker B, Milner A, Braddock JH. The Relationship between Systemic Racism, Residential Segregation, and Racial/Ethnic Disparities in COVID-19 Deaths in the United States. Ethn Dis. 2022;32(1):31–8. </w:t>
      </w:r>
    </w:p>
    <w:p w14:paraId="15B4A1E8" w14:textId="77777777" w:rsidR="00C36E45" w:rsidRPr="00C36E45" w:rsidRDefault="00C36E45" w:rsidP="00C36E45">
      <w:pPr>
        <w:pStyle w:val="Bibliography"/>
      </w:pPr>
      <w:r w:rsidRPr="00C36E45">
        <w:t xml:space="preserve">8 </w:t>
      </w:r>
      <w:r w:rsidRPr="00C36E45">
        <w:tab/>
        <w:t xml:space="preserve">Pahalyants V, Murphy WS, Klebanov N, Lu C, Theodosakis N, Klevens RM, et al. Immunosuppressive biologics did not increase the risk of COVID-19 or subsequent mortality: A retrospective matched cohort study from Massachusetts. J Am Acad Dermatol. 2022 Jan;86(1):252–5. </w:t>
      </w:r>
    </w:p>
    <w:p w14:paraId="0BF4B1F3" w14:textId="7421A097" w:rsidR="005D2D71" w:rsidRDefault="00EB5EA9" w:rsidP="008E5A56">
      <w:pPr>
        <w:spacing w:line="360" w:lineRule="auto"/>
        <w:sectPr w:rsidR="005D2D71" w:rsidSect="004F0489">
          <w:type w:val="continuous"/>
          <w:pgSz w:w="11906" w:h="16838"/>
          <w:pgMar w:top="1440" w:right="1440" w:bottom="1800" w:left="1440" w:header="706" w:footer="706" w:gutter="0"/>
          <w:cols w:space="708"/>
          <w:docGrid w:linePitch="360"/>
        </w:sectPr>
      </w:pPr>
      <w:r>
        <w:fldChar w:fldCharType="end"/>
      </w:r>
    </w:p>
    <w:p w14:paraId="6263A83F" w14:textId="4094D8CA" w:rsidR="00A9026F" w:rsidRPr="008E5A56" w:rsidRDefault="00A9026F" w:rsidP="008E5A56">
      <w:pPr>
        <w:spacing w:line="360" w:lineRule="auto"/>
      </w:pPr>
      <w:r w:rsidRPr="00064DB1">
        <w:rPr>
          <w:b/>
          <w:bCs/>
        </w:rPr>
        <w:lastRenderedPageBreak/>
        <w:t>Table 1</w:t>
      </w:r>
      <w:r w:rsidRPr="00064DB1">
        <w:t xml:space="preserve"> </w:t>
      </w:r>
      <w:r w:rsidR="00A52128">
        <w:t>Patient Characteristics</w:t>
      </w:r>
    </w:p>
    <w:tbl>
      <w:tblPr>
        <w:tblW w:w="10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1170"/>
        <w:gridCol w:w="1350"/>
        <w:gridCol w:w="1170"/>
        <w:gridCol w:w="1170"/>
        <w:gridCol w:w="1350"/>
        <w:gridCol w:w="1170"/>
      </w:tblGrid>
      <w:tr w:rsidR="009B7815" w:rsidRPr="00A9026F" w14:paraId="404FD0B7" w14:textId="77777777" w:rsidTr="007E3854">
        <w:trPr>
          <w:trHeight w:val="322"/>
        </w:trPr>
        <w:tc>
          <w:tcPr>
            <w:tcW w:w="2752" w:type="dxa"/>
            <w:shd w:val="clear" w:color="auto" w:fill="auto"/>
            <w:noWrap/>
            <w:hideMark/>
          </w:tcPr>
          <w:p w14:paraId="243A6B28" w14:textId="77777777" w:rsidR="009B7815" w:rsidRPr="00A9026F" w:rsidRDefault="009B7815" w:rsidP="00F42FBD">
            <w:pPr>
              <w:tabs>
                <w:tab w:val="left" w:pos="275"/>
              </w:tabs>
              <w:spacing w:line="360" w:lineRule="auto"/>
              <w:rPr>
                <w:bCs/>
                <w:color w:val="000000"/>
                <w:sz w:val="22"/>
              </w:rPr>
            </w:pPr>
          </w:p>
        </w:tc>
        <w:tc>
          <w:tcPr>
            <w:tcW w:w="3690" w:type="dxa"/>
            <w:gridSpan w:val="3"/>
            <w:shd w:val="clear" w:color="auto" w:fill="auto"/>
            <w:noWrap/>
            <w:hideMark/>
          </w:tcPr>
          <w:p w14:paraId="1D96A0DE" w14:textId="7DEED25E" w:rsidR="009B7815" w:rsidRDefault="009B7815" w:rsidP="00F42FBD">
            <w:pPr>
              <w:spacing w:line="360" w:lineRule="auto"/>
              <w:rPr>
                <w:bCs/>
                <w:color w:val="000000"/>
                <w:sz w:val="22"/>
              </w:rPr>
            </w:pPr>
            <w:r>
              <w:rPr>
                <w:bCs/>
                <w:color w:val="000000"/>
                <w:sz w:val="22"/>
              </w:rPr>
              <w:t>Patient/Caregiver-reported cases</w:t>
            </w:r>
          </w:p>
        </w:tc>
        <w:tc>
          <w:tcPr>
            <w:tcW w:w="3690" w:type="dxa"/>
            <w:gridSpan w:val="3"/>
          </w:tcPr>
          <w:p w14:paraId="1F23AB45" w14:textId="49D4C7BE" w:rsidR="009B7815" w:rsidRPr="00A9026F" w:rsidRDefault="009B7815" w:rsidP="00F42FBD">
            <w:pPr>
              <w:spacing w:line="360" w:lineRule="auto"/>
              <w:rPr>
                <w:bCs/>
                <w:color w:val="000000"/>
                <w:sz w:val="22"/>
              </w:rPr>
            </w:pPr>
            <w:r>
              <w:rPr>
                <w:bCs/>
                <w:color w:val="000000"/>
                <w:sz w:val="22"/>
              </w:rPr>
              <w:t>Health care provider-reported cases</w:t>
            </w:r>
          </w:p>
        </w:tc>
      </w:tr>
      <w:tr w:rsidR="008F0D57" w:rsidRPr="00A9026F" w14:paraId="63BE08D8" w14:textId="77777777" w:rsidTr="007E3854">
        <w:trPr>
          <w:trHeight w:val="116"/>
        </w:trPr>
        <w:tc>
          <w:tcPr>
            <w:tcW w:w="2752" w:type="dxa"/>
            <w:shd w:val="clear" w:color="auto" w:fill="auto"/>
            <w:hideMark/>
          </w:tcPr>
          <w:p w14:paraId="5106C097" w14:textId="5B988E1A" w:rsidR="009B7815" w:rsidRPr="00A9026F" w:rsidRDefault="009B7815" w:rsidP="00F42FBD">
            <w:pPr>
              <w:tabs>
                <w:tab w:val="left" w:pos="275"/>
              </w:tabs>
              <w:spacing w:line="360" w:lineRule="auto"/>
              <w:rPr>
                <w:bCs/>
                <w:color w:val="000000"/>
                <w:sz w:val="22"/>
              </w:rPr>
            </w:pPr>
            <w:r w:rsidRPr="00A9026F">
              <w:rPr>
                <w:bCs/>
                <w:color w:val="000000"/>
                <w:sz w:val="22"/>
              </w:rPr>
              <w:t>Characteristic</w:t>
            </w:r>
            <w:r>
              <w:rPr>
                <w:bCs/>
                <w:color w:val="000000"/>
                <w:sz w:val="22"/>
              </w:rPr>
              <w:t>s</w:t>
            </w:r>
          </w:p>
        </w:tc>
        <w:tc>
          <w:tcPr>
            <w:tcW w:w="1170" w:type="dxa"/>
            <w:shd w:val="clear" w:color="auto" w:fill="auto"/>
            <w:hideMark/>
          </w:tcPr>
          <w:p w14:paraId="0B173EF8" w14:textId="02A92350" w:rsidR="009B7815" w:rsidRPr="00A9026F" w:rsidRDefault="009B7815" w:rsidP="00F42FBD">
            <w:pPr>
              <w:spacing w:line="360" w:lineRule="auto"/>
              <w:rPr>
                <w:bCs/>
                <w:color w:val="000000"/>
                <w:sz w:val="22"/>
              </w:rPr>
            </w:pPr>
            <w:r>
              <w:rPr>
                <w:bCs/>
                <w:color w:val="000000"/>
                <w:sz w:val="22"/>
              </w:rPr>
              <w:t>Biologic</w:t>
            </w:r>
          </w:p>
        </w:tc>
        <w:tc>
          <w:tcPr>
            <w:tcW w:w="1350" w:type="dxa"/>
            <w:shd w:val="clear" w:color="auto" w:fill="auto"/>
            <w:hideMark/>
          </w:tcPr>
          <w:p w14:paraId="15D768F8" w14:textId="7C6733FD" w:rsidR="009B7815" w:rsidRPr="00A9026F" w:rsidRDefault="009B7815" w:rsidP="00F42FBD">
            <w:pPr>
              <w:spacing w:line="360" w:lineRule="auto"/>
              <w:rPr>
                <w:bCs/>
                <w:color w:val="000000"/>
                <w:sz w:val="22"/>
              </w:rPr>
            </w:pPr>
            <w:r>
              <w:rPr>
                <w:bCs/>
                <w:color w:val="000000"/>
                <w:sz w:val="22"/>
              </w:rPr>
              <w:t>No Biologic</w:t>
            </w:r>
          </w:p>
        </w:tc>
        <w:tc>
          <w:tcPr>
            <w:tcW w:w="1170" w:type="dxa"/>
          </w:tcPr>
          <w:p w14:paraId="1DBEAC60" w14:textId="7B7AE287" w:rsidR="009B7815" w:rsidRPr="00A9026F" w:rsidRDefault="009B7815" w:rsidP="00F42FBD">
            <w:pPr>
              <w:spacing w:line="360" w:lineRule="auto"/>
              <w:rPr>
                <w:bCs/>
                <w:color w:val="000000"/>
                <w:sz w:val="22"/>
              </w:rPr>
            </w:pPr>
            <w:r>
              <w:rPr>
                <w:bCs/>
                <w:color w:val="000000"/>
                <w:sz w:val="22"/>
              </w:rPr>
              <w:t>All</w:t>
            </w:r>
          </w:p>
        </w:tc>
        <w:tc>
          <w:tcPr>
            <w:tcW w:w="1170" w:type="dxa"/>
          </w:tcPr>
          <w:p w14:paraId="4579A857" w14:textId="49632AC2" w:rsidR="009B7815" w:rsidRPr="00A9026F" w:rsidRDefault="009B7815" w:rsidP="00F42FBD">
            <w:pPr>
              <w:spacing w:line="360" w:lineRule="auto"/>
              <w:rPr>
                <w:bCs/>
                <w:color w:val="000000"/>
                <w:sz w:val="22"/>
              </w:rPr>
            </w:pPr>
            <w:r>
              <w:rPr>
                <w:bCs/>
                <w:color w:val="000000"/>
                <w:sz w:val="22"/>
              </w:rPr>
              <w:t>Biologic</w:t>
            </w:r>
          </w:p>
        </w:tc>
        <w:tc>
          <w:tcPr>
            <w:tcW w:w="1350" w:type="dxa"/>
            <w:shd w:val="clear" w:color="auto" w:fill="auto"/>
            <w:hideMark/>
          </w:tcPr>
          <w:p w14:paraId="03E2A067" w14:textId="5E6A5D63" w:rsidR="009B7815" w:rsidRPr="00A9026F" w:rsidRDefault="009B7815" w:rsidP="00F42FBD">
            <w:pPr>
              <w:spacing w:line="360" w:lineRule="auto"/>
              <w:rPr>
                <w:bCs/>
                <w:color w:val="000000"/>
                <w:sz w:val="22"/>
              </w:rPr>
            </w:pPr>
            <w:r>
              <w:rPr>
                <w:bCs/>
                <w:color w:val="000000"/>
                <w:sz w:val="22"/>
              </w:rPr>
              <w:t>No Biologic</w:t>
            </w:r>
          </w:p>
        </w:tc>
        <w:tc>
          <w:tcPr>
            <w:tcW w:w="1170" w:type="dxa"/>
            <w:shd w:val="clear" w:color="auto" w:fill="auto"/>
            <w:hideMark/>
          </w:tcPr>
          <w:p w14:paraId="28304CA3" w14:textId="1ED5A0AE" w:rsidR="009B7815" w:rsidRPr="00A9026F" w:rsidRDefault="009B7815" w:rsidP="00F42FBD">
            <w:pPr>
              <w:spacing w:line="360" w:lineRule="auto"/>
              <w:rPr>
                <w:bCs/>
                <w:color w:val="000000"/>
                <w:sz w:val="22"/>
              </w:rPr>
            </w:pPr>
            <w:r>
              <w:rPr>
                <w:bCs/>
                <w:color w:val="000000"/>
                <w:sz w:val="22"/>
              </w:rPr>
              <w:t>All</w:t>
            </w:r>
          </w:p>
        </w:tc>
      </w:tr>
      <w:tr w:rsidR="008F0D57" w:rsidRPr="00A9026F" w14:paraId="34F1E50B" w14:textId="77777777" w:rsidTr="007E3854">
        <w:trPr>
          <w:trHeight w:val="72"/>
        </w:trPr>
        <w:tc>
          <w:tcPr>
            <w:tcW w:w="2752" w:type="dxa"/>
            <w:shd w:val="clear" w:color="auto" w:fill="auto"/>
            <w:noWrap/>
            <w:hideMark/>
          </w:tcPr>
          <w:p w14:paraId="0C6634B1" w14:textId="58E44328" w:rsidR="009B7815" w:rsidRPr="00A9026F" w:rsidRDefault="001874C7" w:rsidP="00F42FBD">
            <w:pPr>
              <w:tabs>
                <w:tab w:val="left" w:pos="275"/>
              </w:tabs>
              <w:spacing w:line="360" w:lineRule="auto"/>
              <w:rPr>
                <w:bCs/>
                <w:color w:val="000000"/>
                <w:sz w:val="22"/>
              </w:rPr>
            </w:pPr>
            <w:r>
              <w:rPr>
                <w:bCs/>
                <w:color w:val="000000"/>
                <w:sz w:val="22"/>
              </w:rPr>
              <w:t>Number</w:t>
            </w:r>
          </w:p>
        </w:tc>
        <w:tc>
          <w:tcPr>
            <w:tcW w:w="1170" w:type="dxa"/>
            <w:shd w:val="clear" w:color="auto" w:fill="auto"/>
            <w:noWrap/>
            <w:hideMark/>
          </w:tcPr>
          <w:p w14:paraId="48002532" w14:textId="4F23949B" w:rsidR="009B7815" w:rsidRPr="00A9026F" w:rsidRDefault="009B7815" w:rsidP="00F42FBD">
            <w:pPr>
              <w:spacing w:line="360" w:lineRule="auto"/>
              <w:rPr>
                <w:bCs/>
                <w:color w:val="000000"/>
                <w:sz w:val="22"/>
              </w:rPr>
            </w:pPr>
            <w:r w:rsidRPr="00A9026F">
              <w:rPr>
                <w:bCs/>
                <w:color w:val="000000"/>
                <w:sz w:val="22"/>
              </w:rPr>
              <w:t xml:space="preserve"> </w:t>
            </w:r>
            <w:r w:rsidR="004D7775">
              <w:rPr>
                <w:bCs/>
                <w:color w:val="000000"/>
                <w:sz w:val="22"/>
              </w:rPr>
              <w:t>35</w:t>
            </w:r>
          </w:p>
        </w:tc>
        <w:tc>
          <w:tcPr>
            <w:tcW w:w="1350" w:type="dxa"/>
            <w:shd w:val="clear" w:color="auto" w:fill="auto"/>
            <w:noWrap/>
            <w:hideMark/>
          </w:tcPr>
          <w:p w14:paraId="489FC029" w14:textId="26434178" w:rsidR="009B7815" w:rsidRPr="00A9026F" w:rsidRDefault="004D7775" w:rsidP="00F42FBD">
            <w:pPr>
              <w:spacing w:line="360" w:lineRule="auto"/>
              <w:rPr>
                <w:bCs/>
                <w:color w:val="000000"/>
                <w:sz w:val="22"/>
              </w:rPr>
            </w:pPr>
            <w:r>
              <w:rPr>
                <w:bCs/>
                <w:color w:val="000000"/>
                <w:sz w:val="22"/>
              </w:rPr>
              <w:t>205</w:t>
            </w:r>
          </w:p>
        </w:tc>
        <w:tc>
          <w:tcPr>
            <w:tcW w:w="1170" w:type="dxa"/>
          </w:tcPr>
          <w:p w14:paraId="70365237" w14:textId="291BE98B" w:rsidR="009B7815" w:rsidRPr="00A9026F" w:rsidRDefault="004D7775" w:rsidP="00F42FBD">
            <w:pPr>
              <w:spacing w:line="360" w:lineRule="auto"/>
              <w:rPr>
                <w:bCs/>
                <w:color w:val="000000"/>
                <w:sz w:val="22"/>
              </w:rPr>
            </w:pPr>
            <w:r>
              <w:rPr>
                <w:bCs/>
                <w:color w:val="000000"/>
                <w:sz w:val="22"/>
              </w:rPr>
              <w:t>240</w:t>
            </w:r>
          </w:p>
        </w:tc>
        <w:tc>
          <w:tcPr>
            <w:tcW w:w="1170" w:type="dxa"/>
          </w:tcPr>
          <w:p w14:paraId="0353A89B" w14:textId="24CEBCDE" w:rsidR="009B7815" w:rsidRPr="00A9026F" w:rsidRDefault="00BB2C35" w:rsidP="00F42FBD">
            <w:pPr>
              <w:spacing w:line="360" w:lineRule="auto"/>
              <w:rPr>
                <w:bCs/>
                <w:color w:val="000000"/>
                <w:sz w:val="22"/>
              </w:rPr>
            </w:pPr>
            <w:r>
              <w:rPr>
                <w:bCs/>
                <w:color w:val="000000"/>
                <w:sz w:val="22"/>
              </w:rPr>
              <w:t>36</w:t>
            </w:r>
          </w:p>
        </w:tc>
        <w:tc>
          <w:tcPr>
            <w:tcW w:w="1350" w:type="dxa"/>
            <w:shd w:val="clear" w:color="auto" w:fill="auto"/>
            <w:noWrap/>
            <w:hideMark/>
          </w:tcPr>
          <w:p w14:paraId="339BCC4C" w14:textId="3A10F8F7" w:rsidR="009B7815" w:rsidRPr="00A9026F" w:rsidRDefault="00A232D0" w:rsidP="00F42FBD">
            <w:pPr>
              <w:spacing w:line="360" w:lineRule="auto"/>
              <w:rPr>
                <w:bCs/>
                <w:color w:val="000000"/>
                <w:sz w:val="22"/>
              </w:rPr>
            </w:pPr>
            <w:r>
              <w:rPr>
                <w:bCs/>
                <w:color w:val="000000"/>
                <w:sz w:val="22"/>
              </w:rPr>
              <w:t>29</w:t>
            </w:r>
          </w:p>
        </w:tc>
        <w:tc>
          <w:tcPr>
            <w:tcW w:w="1170" w:type="dxa"/>
            <w:shd w:val="clear" w:color="auto" w:fill="auto"/>
            <w:noWrap/>
            <w:hideMark/>
          </w:tcPr>
          <w:p w14:paraId="7AF94C8F" w14:textId="080E8402" w:rsidR="009B7815" w:rsidRPr="00A9026F" w:rsidRDefault="00A232D0" w:rsidP="00F42FBD">
            <w:pPr>
              <w:spacing w:line="360" w:lineRule="auto"/>
              <w:rPr>
                <w:bCs/>
                <w:sz w:val="22"/>
              </w:rPr>
            </w:pPr>
            <w:r>
              <w:rPr>
                <w:bCs/>
                <w:sz w:val="22"/>
              </w:rPr>
              <w:t>65</w:t>
            </w:r>
          </w:p>
        </w:tc>
      </w:tr>
      <w:tr w:rsidR="008F0D57" w:rsidRPr="00A9026F" w14:paraId="67EFE0F2" w14:textId="77777777" w:rsidTr="007E3854">
        <w:trPr>
          <w:trHeight w:val="82"/>
        </w:trPr>
        <w:tc>
          <w:tcPr>
            <w:tcW w:w="2752" w:type="dxa"/>
            <w:shd w:val="clear" w:color="auto" w:fill="auto"/>
            <w:noWrap/>
            <w:hideMark/>
          </w:tcPr>
          <w:p w14:paraId="3EECA898" w14:textId="3B5C4056" w:rsidR="009B7815" w:rsidRPr="00A9026F" w:rsidRDefault="001874C7" w:rsidP="00F42FBD">
            <w:pPr>
              <w:tabs>
                <w:tab w:val="left" w:pos="275"/>
              </w:tabs>
              <w:spacing w:line="360" w:lineRule="auto"/>
              <w:rPr>
                <w:bCs/>
                <w:color w:val="000000"/>
                <w:sz w:val="22"/>
              </w:rPr>
            </w:pPr>
            <w:r>
              <w:rPr>
                <w:bCs/>
                <w:color w:val="000000"/>
                <w:sz w:val="22"/>
              </w:rPr>
              <w:t>Age, y (median, IQR)</w:t>
            </w:r>
          </w:p>
        </w:tc>
        <w:tc>
          <w:tcPr>
            <w:tcW w:w="1170" w:type="dxa"/>
            <w:shd w:val="clear" w:color="auto" w:fill="auto"/>
            <w:noWrap/>
            <w:hideMark/>
          </w:tcPr>
          <w:p w14:paraId="180CA1A5" w14:textId="696E0DE7" w:rsidR="009B7815" w:rsidRPr="00A9026F" w:rsidRDefault="00C03F44" w:rsidP="00F42FBD">
            <w:pPr>
              <w:spacing w:line="360" w:lineRule="auto"/>
              <w:rPr>
                <w:bCs/>
                <w:color w:val="000000"/>
                <w:sz w:val="22"/>
              </w:rPr>
            </w:pPr>
            <w:r>
              <w:rPr>
                <w:bCs/>
                <w:color w:val="000000"/>
                <w:sz w:val="22"/>
              </w:rPr>
              <w:t>38</w:t>
            </w:r>
            <w:r w:rsidR="00FC36FA">
              <w:rPr>
                <w:bCs/>
                <w:color w:val="000000"/>
                <w:sz w:val="22"/>
              </w:rPr>
              <w:t xml:space="preserve"> (</w:t>
            </w:r>
            <w:r w:rsidR="00A52128">
              <w:rPr>
                <w:bCs/>
                <w:color w:val="000000"/>
                <w:sz w:val="22"/>
              </w:rPr>
              <w:t>32-46)</w:t>
            </w:r>
          </w:p>
        </w:tc>
        <w:tc>
          <w:tcPr>
            <w:tcW w:w="1350" w:type="dxa"/>
            <w:shd w:val="clear" w:color="auto" w:fill="auto"/>
            <w:noWrap/>
            <w:hideMark/>
          </w:tcPr>
          <w:p w14:paraId="37A1E2ED" w14:textId="398A8615" w:rsidR="009B7815" w:rsidRPr="00A9026F" w:rsidRDefault="00A52128" w:rsidP="00F42FBD">
            <w:pPr>
              <w:spacing w:line="360" w:lineRule="auto"/>
              <w:rPr>
                <w:bCs/>
                <w:color w:val="000000"/>
                <w:sz w:val="22"/>
              </w:rPr>
            </w:pPr>
            <w:r>
              <w:rPr>
                <w:bCs/>
                <w:color w:val="000000"/>
                <w:sz w:val="22"/>
              </w:rPr>
              <w:t>34 (</w:t>
            </w:r>
            <w:r w:rsidR="00C03F44">
              <w:rPr>
                <w:bCs/>
                <w:color w:val="000000"/>
                <w:sz w:val="22"/>
              </w:rPr>
              <w:t>26</w:t>
            </w:r>
            <w:r>
              <w:rPr>
                <w:bCs/>
                <w:color w:val="000000"/>
                <w:sz w:val="22"/>
              </w:rPr>
              <w:t>-4</w:t>
            </w:r>
            <w:r w:rsidR="00C03F44">
              <w:rPr>
                <w:bCs/>
                <w:color w:val="000000"/>
                <w:sz w:val="22"/>
              </w:rPr>
              <w:t>1</w:t>
            </w:r>
            <w:r>
              <w:rPr>
                <w:bCs/>
                <w:color w:val="000000"/>
                <w:sz w:val="22"/>
              </w:rPr>
              <w:t>)</w:t>
            </w:r>
          </w:p>
        </w:tc>
        <w:tc>
          <w:tcPr>
            <w:tcW w:w="1170" w:type="dxa"/>
          </w:tcPr>
          <w:p w14:paraId="7827D32C" w14:textId="65DB05BB" w:rsidR="009B7815" w:rsidRPr="00A9026F" w:rsidRDefault="00A52128" w:rsidP="00F42FBD">
            <w:pPr>
              <w:spacing w:line="360" w:lineRule="auto"/>
              <w:rPr>
                <w:bCs/>
                <w:color w:val="000000"/>
                <w:sz w:val="22"/>
              </w:rPr>
            </w:pPr>
            <w:r>
              <w:rPr>
                <w:bCs/>
                <w:color w:val="000000"/>
                <w:sz w:val="22"/>
              </w:rPr>
              <w:t>3</w:t>
            </w:r>
            <w:r w:rsidR="00C03F44">
              <w:rPr>
                <w:bCs/>
                <w:color w:val="000000"/>
                <w:sz w:val="22"/>
              </w:rPr>
              <w:t>5</w:t>
            </w:r>
            <w:r>
              <w:rPr>
                <w:bCs/>
                <w:color w:val="000000"/>
                <w:sz w:val="22"/>
              </w:rPr>
              <w:t xml:space="preserve"> (</w:t>
            </w:r>
            <w:r w:rsidR="00C03F44">
              <w:rPr>
                <w:bCs/>
                <w:color w:val="000000"/>
                <w:sz w:val="22"/>
              </w:rPr>
              <w:t>27</w:t>
            </w:r>
            <w:r>
              <w:rPr>
                <w:bCs/>
                <w:color w:val="000000"/>
                <w:sz w:val="22"/>
              </w:rPr>
              <w:t>-</w:t>
            </w:r>
            <w:r w:rsidR="00C03F44">
              <w:rPr>
                <w:bCs/>
                <w:color w:val="000000"/>
                <w:sz w:val="22"/>
              </w:rPr>
              <w:t>42</w:t>
            </w:r>
            <w:r>
              <w:rPr>
                <w:bCs/>
                <w:color w:val="000000"/>
                <w:sz w:val="22"/>
              </w:rPr>
              <w:t>)</w:t>
            </w:r>
          </w:p>
        </w:tc>
        <w:tc>
          <w:tcPr>
            <w:tcW w:w="1170" w:type="dxa"/>
          </w:tcPr>
          <w:p w14:paraId="01375310" w14:textId="3A41B2F4" w:rsidR="009B7815" w:rsidRPr="00A9026F" w:rsidRDefault="00A52128" w:rsidP="00F42FBD">
            <w:pPr>
              <w:spacing w:line="360" w:lineRule="auto"/>
              <w:rPr>
                <w:bCs/>
                <w:color w:val="000000"/>
                <w:sz w:val="22"/>
              </w:rPr>
            </w:pPr>
            <w:r>
              <w:rPr>
                <w:bCs/>
                <w:color w:val="000000"/>
                <w:sz w:val="22"/>
              </w:rPr>
              <w:t>3</w:t>
            </w:r>
            <w:r w:rsidR="00A232D0">
              <w:rPr>
                <w:bCs/>
                <w:color w:val="000000"/>
                <w:sz w:val="22"/>
              </w:rPr>
              <w:t>4</w:t>
            </w:r>
            <w:r>
              <w:rPr>
                <w:bCs/>
                <w:color w:val="000000"/>
                <w:sz w:val="22"/>
              </w:rPr>
              <w:t xml:space="preserve"> (2</w:t>
            </w:r>
            <w:r w:rsidR="00A232D0">
              <w:rPr>
                <w:bCs/>
                <w:color w:val="000000"/>
                <w:sz w:val="22"/>
              </w:rPr>
              <w:t>5</w:t>
            </w:r>
            <w:r>
              <w:rPr>
                <w:bCs/>
                <w:color w:val="000000"/>
                <w:sz w:val="22"/>
              </w:rPr>
              <w:t>-4</w:t>
            </w:r>
            <w:r w:rsidR="00A232D0">
              <w:rPr>
                <w:bCs/>
                <w:color w:val="000000"/>
                <w:sz w:val="22"/>
              </w:rPr>
              <w:t>2</w:t>
            </w:r>
            <w:r>
              <w:rPr>
                <w:bCs/>
                <w:color w:val="000000"/>
                <w:sz w:val="22"/>
              </w:rPr>
              <w:t>)</w:t>
            </w:r>
          </w:p>
        </w:tc>
        <w:tc>
          <w:tcPr>
            <w:tcW w:w="1350" w:type="dxa"/>
            <w:shd w:val="clear" w:color="auto" w:fill="auto"/>
            <w:noWrap/>
            <w:hideMark/>
          </w:tcPr>
          <w:p w14:paraId="588B6979" w14:textId="514DEEA7" w:rsidR="009B7815" w:rsidRPr="00A9026F" w:rsidRDefault="00A232D0" w:rsidP="00F42FBD">
            <w:pPr>
              <w:spacing w:line="360" w:lineRule="auto"/>
              <w:rPr>
                <w:bCs/>
                <w:color w:val="000000"/>
                <w:sz w:val="22"/>
              </w:rPr>
            </w:pPr>
            <w:r>
              <w:rPr>
                <w:bCs/>
                <w:color w:val="000000"/>
                <w:sz w:val="22"/>
              </w:rPr>
              <w:t>36</w:t>
            </w:r>
            <w:r w:rsidR="00A52128">
              <w:rPr>
                <w:bCs/>
                <w:color w:val="000000"/>
                <w:sz w:val="22"/>
              </w:rPr>
              <w:t xml:space="preserve"> (2</w:t>
            </w:r>
            <w:r>
              <w:rPr>
                <w:bCs/>
                <w:color w:val="000000"/>
                <w:sz w:val="22"/>
              </w:rPr>
              <w:t>8</w:t>
            </w:r>
            <w:r w:rsidR="00A52128">
              <w:rPr>
                <w:bCs/>
                <w:color w:val="000000"/>
                <w:sz w:val="22"/>
              </w:rPr>
              <w:t>-4</w:t>
            </w:r>
            <w:r>
              <w:rPr>
                <w:bCs/>
                <w:color w:val="000000"/>
                <w:sz w:val="22"/>
              </w:rPr>
              <w:t>2</w:t>
            </w:r>
            <w:r w:rsidR="00A52128">
              <w:rPr>
                <w:bCs/>
                <w:color w:val="000000"/>
                <w:sz w:val="22"/>
              </w:rPr>
              <w:t>)</w:t>
            </w:r>
          </w:p>
        </w:tc>
        <w:tc>
          <w:tcPr>
            <w:tcW w:w="1170" w:type="dxa"/>
            <w:shd w:val="clear" w:color="auto" w:fill="auto"/>
            <w:noWrap/>
            <w:hideMark/>
          </w:tcPr>
          <w:p w14:paraId="775A3CD1" w14:textId="4EAD78AD" w:rsidR="009B7815" w:rsidRPr="00A9026F" w:rsidRDefault="0071440F" w:rsidP="00F42FBD">
            <w:pPr>
              <w:spacing w:line="360" w:lineRule="auto"/>
              <w:rPr>
                <w:bCs/>
                <w:color w:val="000000"/>
                <w:sz w:val="22"/>
              </w:rPr>
            </w:pPr>
            <w:r>
              <w:rPr>
                <w:bCs/>
                <w:color w:val="000000"/>
                <w:sz w:val="22"/>
              </w:rPr>
              <w:t>3</w:t>
            </w:r>
            <w:r w:rsidR="00FC3680">
              <w:rPr>
                <w:bCs/>
                <w:color w:val="000000"/>
                <w:sz w:val="22"/>
              </w:rPr>
              <w:t>5</w:t>
            </w:r>
            <w:r w:rsidR="00A52128">
              <w:rPr>
                <w:bCs/>
                <w:color w:val="000000"/>
                <w:sz w:val="22"/>
              </w:rPr>
              <w:t xml:space="preserve"> (2</w:t>
            </w:r>
            <w:r w:rsidR="00FC3680">
              <w:rPr>
                <w:bCs/>
                <w:color w:val="000000"/>
                <w:sz w:val="22"/>
              </w:rPr>
              <w:t>7</w:t>
            </w:r>
            <w:r w:rsidR="00A52128">
              <w:rPr>
                <w:bCs/>
                <w:color w:val="000000"/>
                <w:sz w:val="22"/>
              </w:rPr>
              <w:t>-4</w:t>
            </w:r>
            <w:r w:rsidR="00FC3680">
              <w:rPr>
                <w:bCs/>
                <w:color w:val="000000"/>
                <w:sz w:val="22"/>
              </w:rPr>
              <w:t>2</w:t>
            </w:r>
            <w:r w:rsidR="00A52128">
              <w:rPr>
                <w:bCs/>
                <w:color w:val="000000"/>
                <w:sz w:val="22"/>
              </w:rPr>
              <w:t>)</w:t>
            </w:r>
          </w:p>
        </w:tc>
      </w:tr>
      <w:tr w:rsidR="008F0D57" w:rsidRPr="00A9026F" w14:paraId="447D6572" w14:textId="77777777" w:rsidTr="007E3854">
        <w:trPr>
          <w:trHeight w:val="68"/>
        </w:trPr>
        <w:tc>
          <w:tcPr>
            <w:tcW w:w="2752" w:type="dxa"/>
            <w:shd w:val="clear" w:color="auto" w:fill="auto"/>
            <w:noWrap/>
            <w:hideMark/>
          </w:tcPr>
          <w:p w14:paraId="789595CD" w14:textId="2330BF4D" w:rsidR="009B7815" w:rsidRPr="00A9026F" w:rsidRDefault="001874C7" w:rsidP="00F42FBD">
            <w:pPr>
              <w:tabs>
                <w:tab w:val="left" w:pos="275"/>
              </w:tabs>
              <w:spacing w:line="360" w:lineRule="auto"/>
              <w:rPr>
                <w:bCs/>
                <w:color w:val="000000"/>
                <w:sz w:val="22"/>
              </w:rPr>
            </w:pPr>
            <w:r>
              <w:rPr>
                <w:bCs/>
                <w:color w:val="000000"/>
                <w:sz w:val="22"/>
              </w:rPr>
              <w:t>Female sex</w:t>
            </w:r>
            <w:r w:rsidR="000C12AC">
              <w:rPr>
                <w:bCs/>
                <w:color w:val="000000"/>
                <w:sz w:val="22"/>
              </w:rPr>
              <w:t>, n (%)</w:t>
            </w:r>
          </w:p>
        </w:tc>
        <w:tc>
          <w:tcPr>
            <w:tcW w:w="1170" w:type="dxa"/>
            <w:shd w:val="clear" w:color="auto" w:fill="auto"/>
            <w:noWrap/>
            <w:hideMark/>
          </w:tcPr>
          <w:p w14:paraId="1DA0DD46" w14:textId="2027B49B" w:rsidR="009B7815" w:rsidRPr="00A9026F" w:rsidRDefault="000954D7" w:rsidP="00F42FBD">
            <w:pPr>
              <w:spacing w:line="360" w:lineRule="auto"/>
              <w:rPr>
                <w:bCs/>
                <w:color w:val="000000"/>
                <w:sz w:val="22"/>
              </w:rPr>
            </w:pPr>
            <w:r>
              <w:rPr>
                <w:bCs/>
                <w:color w:val="000000"/>
                <w:sz w:val="22"/>
              </w:rPr>
              <w:t>32 (91.4)</w:t>
            </w:r>
          </w:p>
        </w:tc>
        <w:tc>
          <w:tcPr>
            <w:tcW w:w="1350" w:type="dxa"/>
            <w:shd w:val="clear" w:color="auto" w:fill="auto"/>
            <w:noWrap/>
            <w:hideMark/>
          </w:tcPr>
          <w:p w14:paraId="3F558D63" w14:textId="2E486AA9" w:rsidR="009B7815" w:rsidRPr="00A9026F" w:rsidRDefault="004D1D46" w:rsidP="00F42FBD">
            <w:pPr>
              <w:spacing w:line="360" w:lineRule="auto"/>
              <w:rPr>
                <w:bCs/>
                <w:color w:val="000000"/>
                <w:sz w:val="22"/>
              </w:rPr>
            </w:pPr>
            <w:r>
              <w:rPr>
                <w:bCs/>
                <w:color w:val="000000"/>
                <w:sz w:val="22"/>
              </w:rPr>
              <w:t>186 (90.7)</w:t>
            </w:r>
          </w:p>
        </w:tc>
        <w:tc>
          <w:tcPr>
            <w:tcW w:w="1170" w:type="dxa"/>
          </w:tcPr>
          <w:p w14:paraId="023E83AD" w14:textId="2B30B2C2" w:rsidR="009B7815" w:rsidRPr="00A9026F" w:rsidRDefault="004D1D46" w:rsidP="00F42FBD">
            <w:pPr>
              <w:spacing w:line="360" w:lineRule="auto"/>
              <w:rPr>
                <w:bCs/>
                <w:color w:val="000000"/>
                <w:sz w:val="22"/>
              </w:rPr>
            </w:pPr>
            <w:r>
              <w:rPr>
                <w:bCs/>
                <w:color w:val="000000"/>
                <w:sz w:val="22"/>
              </w:rPr>
              <w:t>218 (90.8)</w:t>
            </w:r>
          </w:p>
        </w:tc>
        <w:tc>
          <w:tcPr>
            <w:tcW w:w="1170" w:type="dxa"/>
          </w:tcPr>
          <w:p w14:paraId="68BEB482" w14:textId="06467C65" w:rsidR="009B7815" w:rsidRPr="00A9026F" w:rsidRDefault="00197D09" w:rsidP="00F42FBD">
            <w:pPr>
              <w:spacing w:line="360" w:lineRule="auto"/>
              <w:rPr>
                <w:bCs/>
                <w:color w:val="000000"/>
                <w:sz w:val="22"/>
              </w:rPr>
            </w:pPr>
            <w:r>
              <w:rPr>
                <w:bCs/>
                <w:color w:val="000000"/>
                <w:sz w:val="22"/>
              </w:rPr>
              <w:t>21 (58.3)</w:t>
            </w:r>
          </w:p>
        </w:tc>
        <w:tc>
          <w:tcPr>
            <w:tcW w:w="1350" w:type="dxa"/>
            <w:shd w:val="clear" w:color="auto" w:fill="auto"/>
            <w:noWrap/>
            <w:hideMark/>
          </w:tcPr>
          <w:p w14:paraId="501DE954" w14:textId="591EDFD8" w:rsidR="009B7815" w:rsidRPr="00A9026F" w:rsidRDefault="00197D09" w:rsidP="00F42FBD">
            <w:pPr>
              <w:spacing w:line="360" w:lineRule="auto"/>
              <w:rPr>
                <w:bCs/>
                <w:color w:val="000000"/>
                <w:sz w:val="22"/>
              </w:rPr>
            </w:pPr>
            <w:r>
              <w:rPr>
                <w:bCs/>
                <w:color w:val="000000"/>
                <w:sz w:val="22"/>
              </w:rPr>
              <w:t>19 (67.9)</w:t>
            </w:r>
          </w:p>
        </w:tc>
        <w:tc>
          <w:tcPr>
            <w:tcW w:w="1170" w:type="dxa"/>
            <w:shd w:val="clear" w:color="auto" w:fill="auto"/>
            <w:noWrap/>
            <w:hideMark/>
          </w:tcPr>
          <w:p w14:paraId="268D179B" w14:textId="107E414E" w:rsidR="009B7815" w:rsidRPr="00A9026F" w:rsidRDefault="00197D09" w:rsidP="00F42FBD">
            <w:pPr>
              <w:spacing w:line="360" w:lineRule="auto"/>
              <w:rPr>
                <w:bCs/>
                <w:color w:val="000000"/>
                <w:sz w:val="22"/>
              </w:rPr>
            </w:pPr>
            <w:r>
              <w:rPr>
                <w:bCs/>
                <w:color w:val="000000"/>
                <w:sz w:val="22"/>
              </w:rPr>
              <w:t>40 (62.5)</w:t>
            </w:r>
          </w:p>
        </w:tc>
      </w:tr>
      <w:tr w:rsidR="00023080" w:rsidRPr="00A9026F" w14:paraId="38B33B7C" w14:textId="77777777" w:rsidTr="00A67B3B">
        <w:trPr>
          <w:trHeight w:val="72"/>
        </w:trPr>
        <w:tc>
          <w:tcPr>
            <w:tcW w:w="10132" w:type="dxa"/>
            <w:gridSpan w:val="7"/>
            <w:shd w:val="clear" w:color="auto" w:fill="auto"/>
            <w:noWrap/>
            <w:hideMark/>
          </w:tcPr>
          <w:p w14:paraId="3E668C77" w14:textId="09456C50" w:rsidR="00023080" w:rsidRPr="00023080" w:rsidRDefault="00023080" w:rsidP="00F42FBD">
            <w:pPr>
              <w:tabs>
                <w:tab w:val="left" w:pos="275"/>
              </w:tabs>
              <w:spacing w:line="360" w:lineRule="auto"/>
              <w:rPr>
                <w:bCs/>
                <w:color w:val="000000"/>
                <w:sz w:val="22"/>
              </w:rPr>
            </w:pPr>
            <w:r w:rsidRPr="00A9026F">
              <w:rPr>
                <w:bCs/>
                <w:color w:val="000000"/>
                <w:sz w:val="22"/>
              </w:rPr>
              <w:t>Race/ethnicity</w:t>
            </w:r>
            <w:r>
              <w:rPr>
                <w:bCs/>
                <w:color w:val="000000"/>
                <w:sz w:val="22"/>
              </w:rPr>
              <w:t>, n (%)</w:t>
            </w:r>
          </w:p>
        </w:tc>
      </w:tr>
      <w:tr w:rsidR="008F0D57" w:rsidRPr="00A9026F" w14:paraId="5420DD61" w14:textId="77777777" w:rsidTr="007E3854">
        <w:trPr>
          <w:trHeight w:val="82"/>
        </w:trPr>
        <w:tc>
          <w:tcPr>
            <w:tcW w:w="2752" w:type="dxa"/>
            <w:shd w:val="clear" w:color="auto" w:fill="auto"/>
            <w:noWrap/>
            <w:hideMark/>
          </w:tcPr>
          <w:p w14:paraId="4EFDCB3A" w14:textId="77777777" w:rsidR="009B7815" w:rsidRPr="00A9026F" w:rsidRDefault="009B7815" w:rsidP="00F42FBD">
            <w:pPr>
              <w:tabs>
                <w:tab w:val="left" w:pos="275"/>
              </w:tabs>
              <w:spacing w:line="360" w:lineRule="auto"/>
              <w:rPr>
                <w:bCs/>
                <w:color w:val="000000"/>
                <w:sz w:val="22"/>
              </w:rPr>
            </w:pPr>
            <w:r w:rsidRPr="00A9026F">
              <w:rPr>
                <w:bCs/>
                <w:color w:val="000000"/>
                <w:sz w:val="22"/>
              </w:rPr>
              <w:tab/>
              <w:t>White</w:t>
            </w:r>
          </w:p>
        </w:tc>
        <w:tc>
          <w:tcPr>
            <w:tcW w:w="1170" w:type="dxa"/>
            <w:shd w:val="clear" w:color="auto" w:fill="auto"/>
            <w:noWrap/>
          </w:tcPr>
          <w:p w14:paraId="796A5F56" w14:textId="569C0D06" w:rsidR="009B7815" w:rsidRPr="00A9026F" w:rsidRDefault="00E55749" w:rsidP="00F42FBD">
            <w:pPr>
              <w:spacing w:line="360" w:lineRule="auto"/>
              <w:rPr>
                <w:bCs/>
                <w:color w:val="000000"/>
                <w:sz w:val="22"/>
              </w:rPr>
            </w:pPr>
            <w:r>
              <w:rPr>
                <w:bCs/>
                <w:color w:val="000000"/>
                <w:sz w:val="22"/>
              </w:rPr>
              <w:t>22 (62.9)</w:t>
            </w:r>
          </w:p>
        </w:tc>
        <w:tc>
          <w:tcPr>
            <w:tcW w:w="1350" w:type="dxa"/>
            <w:shd w:val="clear" w:color="auto" w:fill="auto"/>
            <w:noWrap/>
          </w:tcPr>
          <w:p w14:paraId="00D85C55" w14:textId="3BAC8828" w:rsidR="009B7815" w:rsidRPr="00A9026F" w:rsidRDefault="00B56BEE" w:rsidP="00F42FBD">
            <w:pPr>
              <w:spacing w:line="360" w:lineRule="auto"/>
              <w:rPr>
                <w:bCs/>
                <w:color w:val="000000"/>
                <w:sz w:val="22"/>
              </w:rPr>
            </w:pPr>
            <w:r>
              <w:rPr>
                <w:bCs/>
                <w:color w:val="000000"/>
                <w:sz w:val="22"/>
              </w:rPr>
              <w:t>146</w:t>
            </w:r>
            <w:r w:rsidR="00094181">
              <w:rPr>
                <w:bCs/>
                <w:color w:val="000000"/>
                <w:sz w:val="22"/>
              </w:rPr>
              <w:t xml:space="preserve"> (71.2)</w:t>
            </w:r>
          </w:p>
        </w:tc>
        <w:tc>
          <w:tcPr>
            <w:tcW w:w="1170" w:type="dxa"/>
          </w:tcPr>
          <w:p w14:paraId="1183FBAA" w14:textId="6CE2D0B6" w:rsidR="009B7815" w:rsidRPr="00A9026F" w:rsidRDefault="008D4EF5" w:rsidP="00F42FBD">
            <w:pPr>
              <w:spacing w:line="360" w:lineRule="auto"/>
              <w:rPr>
                <w:bCs/>
                <w:color w:val="000000"/>
                <w:sz w:val="22"/>
              </w:rPr>
            </w:pPr>
            <w:r>
              <w:rPr>
                <w:bCs/>
                <w:color w:val="000000"/>
                <w:sz w:val="22"/>
              </w:rPr>
              <w:t>168 (70.0)</w:t>
            </w:r>
          </w:p>
        </w:tc>
        <w:tc>
          <w:tcPr>
            <w:tcW w:w="1170" w:type="dxa"/>
          </w:tcPr>
          <w:p w14:paraId="05BA8FD4" w14:textId="546DC9A8" w:rsidR="009B7815" w:rsidRPr="00A9026F" w:rsidRDefault="002952C1" w:rsidP="00F42FBD">
            <w:pPr>
              <w:spacing w:line="360" w:lineRule="auto"/>
              <w:rPr>
                <w:bCs/>
                <w:color w:val="000000"/>
                <w:sz w:val="22"/>
              </w:rPr>
            </w:pPr>
            <w:r>
              <w:rPr>
                <w:bCs/>
                <w:color w:val="000000"/>
                <w:sz w:val="22"/>
              </w:rPr>
              <w:t>16 (44.4)</w:t>
            </w:r>
          </w:p>
        </w:tc>
        <w:tc>
          <w:tcPr>
            <w:tcW w:w="1350" w:type="dxa"/>
            <w:shd w:val="clear" w:color="auto" w:fill="auto"/>
            <w:noWrap/>
          </w:tcPr>
          <w:p w14:paraId="075AE68C" w14:textId="12DE0F78" w:rsidR="009B7815" w:rsidRPr="00A9026F" w:rsidRDefault="002952C1" w:rsidP="00F42FBD">
            <w:pPr>
              <w:spacing w:line="360" w:lineRule="auto"/>
              <w:rPr>
                <w:bCs/>
                <w:color w:val="000000"/>
                <w:sz w:val="22"/>
              </w:rPr>
            </w:pPr>
            <w:r>
              <w:rPr>
                <w:bCs/>
                <w:color w:val="000000"/>
                <w:sz w:val="22"/>
              </w:rPr>
              <w:t>11 (37.9)</w:t>
            </w:r>
          </w:p>
        </w:tc>
        <w:tc>
          <w:tcPr>
            <w:tcW w:w="1170" w:type="dxa"/>
            <w:shd w:val="clear" w:color="auto" w:fill="auto"/>
            <w:noWrap/>
          </w:tcPr>
          <w:p w14:paraId="454B4F25" w14:textId="6C043579" w:rsidR="009B7815" w:rsidRPr="00A9026F" w:rsidRDefault="002952C1" w:rsidP="00F42FBD">
            <w:pPr>
              <w:spacing w:line="360" w:lineRule="auto"/>
              <w:rPr>
                <w:bCs/>
                <w:color w:val="000000"/>
                <w:sz w:val="22"/>
              </w:rPr>
            </w:pPr>
            <w:r>
              <w:rPr>
                <w:bCs/>
                <w:color w:val="000000"/>
                <w:sz w:val="22"/>
              </w:rPr>
              <w:t>27 (41.5)</w:t>
            </w:r>
          </w:p>
        </w:tc>
      </w:tr>
      <w:tr w:rsidR="008F0D57" w:rsidRPr="00A9026F" w14:paraId="0D99F718" w14:textId="77777777" w:rsidTr="007E3854">
        <w:trPr>
          <w:trHeight w:val="72"/>
        </w:trPr>
        <w:tc>
          <w:tcPr>
            <w:tcW w:w="2752" w:type="dxa"/>
            <w:shd w:val="clear" w:color="auto" w:fill="auto"/>
            <w:noWrap/>
            <w:hideMark/>
          </w:tcPr>
          <w:p w14:paraId="0BD9BD3D" w14:textId="10EFE393" w:rsidR="009B7815" w:rsidRPr="003C1985" w:rsidRDefault="009B7815" w:rsidP="00F42FBD">
            <w:pPr>
              <w:tabs>
                <w:tab w:val="left" w:pos="275"/>
              </w:tabs>
              <w:spacing w:line="360" w:lineRule="auto"/>
              <w:rPr>
                <w:bCs/>
                <w:color w:val="000000"/>
                <w:sz w:val="22"/>
              </w:rPr>
            </w:pPr>
            <w:r w:rsidRPr="003C1985">
              <w:rPr>
                <w:bCs/>
                <w:color w:val="000000"/>
                <w:sz w:val="22"/>
              </w:rPr>
              <w:tab/>
            </w:r>
            <w:r w:rsidR="00431FD2" w:rsidRPr="003C1985">
              <w:rPr>
                <w:bCs/>
                <w:color w:val="000000"/>
                <w:sz w:val="22"/>
              </w:rPr>
              <w:t>Black</w:t>
            </w:r>
            <w:r w:rsidR="00BD3AFC">
              <w:rPr>
                <w:bCs/>
                <w:color w:val="000000"/>
                <w:sz w:val="22"/>
              </w:rPr>
              <w:t xml:space="preserve">, </w:t>
            </w:r>
            <w:r w:rsidRPr="003C1985">
              <w:rPr>
                <w:bCs/>
                <w:color w:val="000000"/>
                <w:sz w:val="22"/>
              </w:rPr>
              <w:t xml:space="preserve">African </w:t>
            </w:r>
          </w:p>
        </w:tc>
        <w:tc>
          <w:tcPr>
            <w:tcW w:w="1170" w:type="dxa"/>
            <w:shd w:val="clear" w:color="auto" w:fill="auto"/>
            <w:noWrap/>
          </w:tcPr>
          <w:p w14:paraId="3B3D8F53" w14:textId="73FA0538" w:rsidR="009B7815" w:rsidRPr="003C1985" w:rsidRDefault="00BD3AFC" w:rsidP="00F42FBD">
            <w:pPr>
              <w:spacing w:line="360" w:lineRule="auto"/>
              <w:rPr>
                <w:bCs/>
                <w:color w:val="000000"/>
                <w:sz w:val="22"/>
              </w:rPr>
            </w:pPr>
            <w:r>
              <w:rPr>
                <w:bCs/>
                <w:color w:val="000000"/>
                <w:sz w:val="22"/>
              </w:rPr>
              <w:t>4</w:t>
            </w:r>
            <w:r w:rsidR="00D316E9" w:rsidRPr="003C1985">
              <w:rPr>
                <w:bCs/>
                <w:color w:val="000000"/>
                <w:sz w:val="22"/>
              </w:rPr>
              <w:t xml:space="preserve"> </w:t>
            </w:r>
            <w:r>
              <w:rPr>
                <w:bCs/>
                <w:color w:val="000000"/>
                <w:sz w:val="22"/>
              </w:rPr>
              <w:t>(11.4)</w:t>
            </w:r>
          </w:p>
        </w:tc>
        <w:tc>
          <w:tcPr>
            <w:tcW w:w="1350" w:type="dxa"/>
            <w:shd w:val="clear" w:color="auto" w:fill="auto"/>
            <w:noWrap/>
          </w:tcPr>
          <w:p w14:paraId="43B0258A" w14:textId="34708E2C" w:rsidR="009B7815" w:rsidRPr="003C1985" w:rsidRDefault="00BD3AFC" w:rsidP="00F42FBD">
            <w:pPr>
              <w:spacing w:line="360" w:lineRule="auto"/>
              <w:rPr>
                <w:bCs/>
                <w:color w:val="000000"/>
                <w:sz w:val="22"/>
              </w:rPr>
            </w:pPr>
            <w:r>
              <w:rPr>
                <w:bCs/>
                <w:color w:val="000000"/>
                <w:sz w:val="22"/>
              </w:rPr>
              <w:t>2</w:t>
            </w:r>
            <w:r w:rsidR="00814CD8" w:rsidRPr="003C1985">
              <w:rPr>
                <w:bCs/>
                <w:color w:val="000000"/>
                <w:sz w:val="22"/>
              </w:rPr>
              <w:t xml:space="preserve"> </w:t>
            </w:r>
            <w:r>
              <w:rPr>
                <w:bCs/>
                <w:color w:val="000000"/>
                <w:sz w:val="22"/>
              </w:rPr>
              <w:t>(</w:t>
            </w:r>
            <w:r w:rsidR="00DC6997">
              <w:rPr>
                <w:bCs/>
                <w:color w:val="000000"/>
                <w:sz w:val="22"/>
              </w:rPr>
              <w:t>1.0</w:t>
            </w:r>
            <w:r>
              <w:rPr>
                <w:bCs/>
                <w:color w:val="000000"/>
                <w:sz w:val="22"/>
              </w:rPr>
              <w:t>)</w:t>
            </w:r>
          </w:p>
        </w:tc>
        <w:tc>
          <w:tcPr>
            <w:tcW w:w="1170" w:type="dxa"/>
            <w:shd w:val="clear" w:color="auto" w:fill="auto"/>
          </w:tcPr>
          <w:p w14:paraId="17D0A423" w14:textId="08E5B8C4" w:rsidR="009B7815" w:rsidRPr="003C1985" w:rsidRDefault="008D4EF5" w:rsidP="00F42FBD">
            <w:pPr>
              <w:spacing w:line="360" w:lineRule="auto"/>
              <w:rPr>
                <w:bCs/>
                <w:color w:val="000000"/>
                <w:sz w:val="22"/>
              </w:rPr>
            </w:pPr>
            <w:r w:rsidRPr="003C1985">
              <w:rPr>
                <w:bCs/>
                <w:color w:val="000000"/>
                <w:sz w:val="22"/>
              </w:rPr>
              <w:t>6 (2.5)</w:t>
            </w:r>
          </w:p>
        </w:tc>
        <w:tc>
          <w:tcPr>
            <w:tcW w:w="1170" w:type="dxa"/>
            <w:shd w:val="clear" w:color="auto" w:fill="auto"/>
          </w:tcPr>
          <w:p w14:paraId="01A5C11F" w14:textId="6FEDFA69" w:rsidR="009B7815" w:rsidRPr="003C1985" w:rsidRDefault="00FA663F" w:rsidP="00F42FBD">
            <w:pPr>
              <w:spacing w:line="360" w:lineRule="auto"/>
              <w:rPr>
                <w:bCs/>
                <w:color w:val="000000"/>
                <w:sz w:val="22"/>
              </w:rPr>
            </w:pPr>
            <w:r w:rsidRPr="003C1985">
              <w:rPr>
                <w:bCs/>
                <w:color w:val="000000"/>
                <w:sz w:val="22"/>
              </w:rPr>
              <w:t>2 (5.6)</w:t>
            </w:r>
          </w:p>
        </w:tc>
        <w:tc>
          <w:tcPr>
            <w:tcW w:w="1350" w:type="dxa"/>
            <w:shd w:val="clear" w:color="auto" w:fill="auto"/>
            <w:noWrap/>
          </w:tcPr>
          <w:p w14:paraId="579CF66C" w14:textId="17AC8BBA" w:rsidR="009B7815" w:rsidRPr="003C1985" w:rsidRDefault="00FA663F" w:rsidP="00F42FBD">
            <w:pPr>
              <w:spacing w:line="360" w:lineRule="auto"/>
              <w:rPr>
                <w:bCs/>
                <w:color w:val="000000"/>
                <w:sz w:val="22"/>
              </w:rPr>
            </w:pPr>
            <w:r w:rsidRPr="003C1985">
              <w:rPr>
                <w:bCs/>
                <w:color w:val="000000"/>
                <w:sz w:val="22"/>
              </w:rPr>
              <w:t>6 (20.7)</w:t>
            </w:r>
          </w:p>
        </w:tc>
        <w:tc>
          <w:tcPr>
            <w:tcW w:w="1170" w:type="dxa"/>
            <w:shd w:val="clear" w:color="auto" w:fill="auto"/>
            <w:noWrap/>
          </w:tcPr>
          <w:p w14:paraId="3BA67E87" w14:textId="51792288" w:rsidR="009B7815" w:rsidRPr="003C1985" w:rsidRDefault="00FA663F" w:rsidP="00F42FBD">
            <w:pPr>
              <w:spacing w:line="360" w:lineRule="auto"/>
              <w:rPr>
                <w:bCs/>
                <w:color w:val="000000"/>
                <w:sz w:val="22"/>
              </w:rPr>
            </w:pPr>
            <w:r w:rsidRPr="003C1985">
              <w:rPr>
                <w:bCs/>
                <w:color w:val="000000"/>
                <w:sz w:val="22"/>
              </w:rPr>
              <w:t>8 (12.3)</w:t>
            </w:r>
          </w:p>
        </w:tc>
      </w:tr>
      <w:tr w:rsidR="00BD3AFC" w:rsidRPr="00A9026F" w14:paraId="454F807F" w14:textId="77777777" w:rsidTr="007E3854">
        <w:trPr>
          <w:trHeight w:val="72"/>
        </w:trPr>
        <w:tc>
          <w:tcPr>
            <w:tcW w:w="2752" w:type="dxa"/>
            <w:shd w:val="clear" w:color="auto" w:fill="auto"/>
            <w:noWrap/>
          </w:tcPr>
          <w:p w14:paraId="0378C08F" w14:textId="715FFCCE" w:rsidR="00BD3AFC" w:rsidRPr="003C1985" w:rsidRDefault="00BD3AFC" w:rsidP="00F42FBD">
            <w:pPr>
              <w:tabs>
                <w:tab w:val="left" w:pos="275"/>
              </w:tabs>
              <w:spacing w:line="360" w:lineRule="auto"/>
              <w:rPr>
                <w:bCs/>
                <w:color w:val="000000"/>
                <w:sz w:val="22"/>
              </w:rPr>
            </w:pPr>
            <w:r w:rsidRPr="003C1985">
              <w:rPr>
                <w:bCs/>
                <w:color w:val="000000"/>
                <w:sz w:val="22"/>
              </w:rPr>
              <w:tab/>
            </w:r>
            <w:r>
              <w:rPr>
                <w:bCs/>
                <w:color w:val="000000"/>
                <w:sz w:val="22"/>
              </w:rPr>
              <w:t>Black, Afro-Caribbean</w:t>
            </w:r>
          </w:p>
        </w:tc>
        <w:tc>
          <w:tcPr>
            <w:tcW w:w="1170" w:type="dxa"/>
            <w:shd w:val="clear" w:color="auto" w:fill="auto"/>
            <w:noWrap/>
          </w:tcPr>
          <w:p w14:paraId="4A7FF32F" w14:textId="4625DBBC" w:rsidR="00BD3AFC" w:rsidRPr="003C1985" w:rsidRDefault="00BD3AFC" w:rsidP="00F42FBD">
            <w:pPr>
              <w:spacing w:line="360" w:lineRule="auto"/>
              <w:rPr>
                <w:bCs/>
                <w:color w:val="000000"/>
                <w:sz w:val="22"/>
              </w:rPr>
            </w:pPr>
            <w:r>
              <w:rPr>
                <w:bCs/>
                <w:color w:val="000000"/>
                <w:sz w:val="22"/>
              </w:rPr>
              <w:t>0 (0.0)</w:t>
            </w:r>
          </w:p>
        </w:tc>
        <w:tc>
          <w:tcPr>
            <w:tcW w:w="1350" w:type="dxa"/>
            <w:shd w:val="clear" w:color="auto" w:fill="auto"/>
            <w:noWrap/>
          </w:tcPr>
          <w:p w14:paraId="29A1259F" w14:textId="13A15D85" w:rsidR="00BD3AFC" w:rsidRPr="003C1985" w:rsidRDefault="00BD3AFC" w:rsidP="00F42FBD">
            <w:pPr>
              <w:spacing w:line="360" w:lineRule="auto"/>
              <w:rPr>
                <w:bCs/>
                <w:color w:val="000000"/>
                <w:sz w:val="22"/>
              </w:rPr>
            </w:pPr>
            <w:r>
              <w:rPr>
                <w:bCs/>
                <w:color w:val="000000"/>
                <w:sz w:val="22"/>
              </w:rPr>
              <w:t>3 (1.46)</w:t>
            </w:r>
          </w:p>
        </w:tc>
        <w:tc>
          <w:tcPr>
            <w:tcW w:w="1170" w:type="dxa"/>
            <w:shd w:val="clear" w:color="auto" w:fill="auto"/>
          </w:tcPr>
          <w:p w14:paraId="262D0C8C" w14:textId="2989CD75" w:rsidR="00BD3AFC" w:rsidRPr="003C1985" w:rsidRDefault="00BD3AFC" w:rsidP="00F42FBD">
            <w:pPr>
              <w:spacing w:line="360" w:lineRule="auto"/>
              <w:rPr>
                <w:bCs/>
                <w:color w:val="000000"/>
                <w:sz w:val="22"/>
              </w:rPr>
            </w:pPr>
            <w:r>
              <w:rPr>
                <w:bCs/>
                <w:color w:val="000000"/>
                <w:sz w:val="22"/>
              </w:rPr>
              <w:t>3 (1.25)</w:t>
            </w:r>
          </w:p>
        </w:tc>
        <w:tc>
          <w:tcPr>
            <w:tcW w:w="1170" w:type="dxa"/>
            <w:shd w:val="clear" w:color="auto" w:fill="auto"/>
          </w:tcPr>
          <w:p w14:paraId="29470AC9" w14:textId="4C26351B" w:rsidR="00BD3AFC" w:rsidRPr="003C1985" w:rsidRDefault="009C7BC2" w:rsidP="00F42FBD">
            <w:pPr>
              <w:spacing w:line="360" w:lineRule="auto"/>
              <w:rPr>
                <w:bCs/>
                <w:color w:val="000000"/>
                <w:sz w:val="22"/>
              </w:rPr>
            </w:pPr>
            <w:r>
              <w:rPr>
                <w:bCs/>
                <w:color w:val="000000"/>
                <w:sz w:val="22"/>
              </w:rPr>
              <w:t>1 (2.8)</w:t>
            </w:r>
          </w:p>
        </w:tc>
        <w:tc>
          <w:tcPr>
            <w:tcW w:w="1350" w:type="dxa"/>
            <w:shd w:val="clear" w:color="auto" w:fill="auto"/>
            <w:noWrap/>
          </w:tcPr>
          <w:p w14:paraId="25759624" w14:textId="14C8A69B" w:rsidR="00BD3AFC" w:rsidRPr="003C1985" w:rsidRDefault="009C7BC2" w:rsidP="00F42FBD">
            <w:pPr>
              <w:spacing w:line="360" w:lineRule="auto"/>
              <w:rPr>
                <w:bCs/>
                <w:color w:val="000000"/>
                <w:sz w:val="22"/>
              </w:rPr>
            </w:pPr>
            <w:r>
              <w:rPr>
                <w:bCs/>
                <w:color w:val="000000"/>
                <w:sz w:val="22"/>
              </w:rPr>
              <w:t>1 (3.5)</w:t>
            </w:r>
          </w:p>
        </w:tc>
        <w:tc>
          <w:tcPr>
            <w:tcW w:w="1170" w:type="dxa"/>
            <w:shd w:val="clear" w:color="auto" w:fill="auto"/>
            <w:noWrap/>
          </w:tcPr>
          <w:p w14:paraId="2B0DA3BE" w14:textId="795CD4F6" w:rsidR="00BD3AFC" w:rsidRPr="003C1985" w:rsidRDefault="009C7BC2" w:rsidP="00F42FBD">
            <w:pPr>
              <w:spacing w:line="360" w:lineRule="auto"/>
              <w:rPr>
                <w:bCs/>
                <w:color w:val="000000"/>
                <w:sz w:val="22"/>
              </w:rPr>
            </w:pPr>
            <w:r>
              <w:rPr>
                <w:bCs/>
                <w:color w:val="000000"/>
                <w:sz w:val="22"/>
              </w:rPr>
              <w:t>2 (3.1)</w:t>
            </w:r>
          </w:p>
        </w:tc>
      </w:tr>
      <w:tr w:rsidR="008F0D57" w:rsidRPr="00A9026F" w14:paraId="35E555D2" w14:textId="77777777" w:rsidTr="007E3854">
        <w:trPr>
          <w:trHeight w:val="72"/>
        </w:trPr>
        <w:tc>
          <w:tcPr>
            <w:tcW w:w="2752" w:type="dxa"/>
            <w:shd w:val="clear" w:color="auto" w:fill="auto"/>
            <w:noWrap/>
          </w:tcPr>
          <w:p w14:paraId="718B9B9A" w14:textId="0A726978" w:rsidR="00431FD2" w:rsidRPr="003C1985" w:rsidRDefault="00431FD2" w:rsidP="00F42FBD">
            <w:pPr>
              <w:tabs>
                <w:tab w:val="left" w:pos="275"/>
              </w:tabs>
              <w:spacing w:line="360" w:lineRule="auto"/>
              <w:rPr>
                <w:bCs/>
                <w:color w:val="000000"/>
                <w:sz w:val="22"/>
              </w:rPr>
            </w:pPr>
            <w:r w:rsidRPr="003C1985">
              <w:rPr>
                <w:bCs/>
                <w:color w:val="000000"/>
                <w:sz w:val="22"/>
              </w:rPr>
              <w:tab/>
              <w:t>Black</w:t>
            </w:r>
            <w:r w:rsidR="00BD3AFC">
              <w:rPr>
                <w:bCs/>
                <w:color w:val="000000"/>
                <w:sz w:val="22"/>
              </w:rPr>
              <w:t>,</w:t>
            </w:r>
            <w:r w:rsidRPr="003C1985">
              <w:rPr>
                <w:bCs/>
                <w:color w:val="000000"/>
                <w:sz w:val="22"/>
              </w:rPr>
              <w:t xml:space="preserve"> African American</w:t>
            </w:r>
          </w:p>
        </w:tc>
        <w:tc>
          <w:tcPr>
            <w:tcW w:w="1170" w:type="dxa"/>
            <w:shd w:val="clear" w:color="auto" w:fill="auto"/>
            <w:noWrap/>
          </w:tcPr>
          <w:p w14:paraId="13DD5FC7" w14:textId="33ADF2C5" w:rsidR="00431FD2" w:rsidRPr="003C1985" w:rsidRDefault="000479C9" w:rsidP="00F42FBD">
            <w:pPr>
              <w:spacing w:line="360" w:lineRule="auto"/>
              <w:rPr>
                <w:bCs/>
                <w:color w:val="000000"/>
                <w:sz w:val="22"/>
              </w:rPr>
            </w:pPr>
            <w:r>
              <w:rPr>
                <w:bCs/>
                <w:color w:val="000000"/>
                <w:sz w:val="22"/>
              </w:rPr>
              <w:t>2</w:t>
            </w:r>
            <w:r w:rsidR="00D316E9" w:rsidRPr="003C1985">
              <w:rPr>
                <w:bCs/>
                <w:color w:val="000000"/>
                <w:sz w:val="22"/>
              </w:rPr>
              <w:t xml:space="preserve"> (</w:t>
            </w:r>
            <w:r>
              <w:rPr>
                <w:bCs/>
                <w:color w:val="000000"/>
                <w:sz w:val="22"/>
              </w:rPr>
              <w:t>5.7</w:t>
            </w:r>
            <w:r w:rsidR="00D316E9" w:rsidRPr="003C1985">
              <w:rPr>
                <w:bCs/>
                <w:color w:val="000000"/>
                <w:sz w:val="22"/>
              </w:rPr>
              <w:t>)</w:t>
            </w:r>
          </w:p>
        </w:tc>
        <w:tc>
          <w:tcPr>
            <w:tcW w:w="1350" w:type="dxa"/>
            <w:shd w:val="clear" w:color="auto" w:fill="auto"/>
            <w:noWrap/>
          </w:tcPr>
          <w:p w14:paraId="2EB02073" w14:textId="07F7420F" w:rsidR="00431FD2" w:rsidRPr="003C1985" w:rsidRDefault="000479C9" w:rsidP="00F42FBD">
            <w:pPr>
              <w:spacing w:line="360" w:lineRule="auto"/>
              <w:rPr>
                <w:bCs/>
                <w:color w:val="000000"/>
                <w:sz w:val="22"/>
              </w:rPr>
            </w:pPr>
            <w:r>
              <w:rPr>
                <w:bCs/>
                <w:color w:val="000000"/>
                <w:sz w:val="22"/>
              </w:rPr>
              <w:t>6</w:t>
            </w:r>
            <w:r w:rsidR="0013550D" w:rsidRPr="003C1985">
              <w:rPr>
                <w:bCs/>
                <w:color w:val="000000"/>
                <w:sz w:val="22"/>
              </w:rPr>
              <w:t xml:space="preserve"> (</w:t>
            </w:r>
            <w:r>
              <w:rPr>
                <w:bCs/>
                <w:color w:val="000000"/>
                <w:sz w:val="22"/>
              </w:rPr>
              <w:t>2.9</w:t>
            </w:r>
            <w:r w:rsidR="0013550D" w:rsidRPr="003C1985">
              <w:rPr>
                <w:bCs/>
                <w:color w:val="000000"/>
                <w:sz w:val="22"/>
              </w:rPr>
              <w:t>)</w:t>
            </w:r>
          </w:p>
        </w:tc>
        <w:tc>
          <w:tcPr>
            <w:tcW w:w="1170" w:type="dxa"/>
            <w:shd w:val="clear" w:color="auto" w:fill="auto"/>
          </w:tcPr>
          <w:p w14:paraId="35D9965F" w14:textId="51569852" w:rsidR="00431FD2" w:rsidRPr="003C1985" w:rsidRDefault="00F326FD" w:rsidP="00F42FBD">
            <w:pPr>
              <w:spacing w:line="360" w:lineRule="auto"/>
              <w:rPr>
                <w:bCs/>
                <w:color w:val="000000"/>
                <w:sz w:val="22"/>
              </w:rPr>
            </w:pPr>
            <w:r w:rsidRPr="003C1985">
              <w:rPr>
                <w:bCs/>
                <w:color w:val="000000"/>
                <w:sz w:val="22"/>
              </w:rPr>
              <w:t>8 (3.3)</w:t>
            </w:r>
          </w:p>
        </w:tc>
        <w:tc>
          <w:tcPr>
            <w:tcW w:w="1170" w:type="dxa"/>
            <w:shd w:val="clear" w:color="auto" w:fill="auto"/>
          </w:tcPr>
          <w:p w14:paraId="776A95FF" w14:textId="3A031DC1" w:rsidR="00431FD2" w:rsidRPr="003C1985" w:rsidRDefault="001324D2" w:rsidP="00F42FBD">
            <w:pPr>
              <w:spacing w:line="360" w:lineRule="auto"/>
              <w:rPr>
                <w:bCs/>
                <w:color w:val="000000"/>
                <w:sz w:val="22"/>
              </w:rPr>
            </w:pPr>
            <w:r w:rsidRPr="003C1985">
              <w:rPr>
                <w:bCs/>
                <w:color w:val="000000"/>
                <w:sz w:val="22"/>
              </w:rPr>
              <w:t>6 (16.7)</w:t>
            </w:r>
          </w:p>
        </w:tc>
        <w:tc>
          <w:tcPr>
            <w:tcW w:w="1350" w:type="dxa"/>
            <w:shd w:val="clear" w:color="auto" w:fill="auto"/>
            <w:noWrap/>
          </w:tcPr>
          <w:p w14:paraId="4F094F85" w14:textId="4CBEE47C" w:rsidR="00431FD2" w:rsidRPr="003C1985" w:rsidRDefault="001324D2" w:rsidP="00F42FBD">
            <w:pPr>
              <w:spacing w:line="360" w:lineRule="auto"/>
              <w:rPr>
                <w:bCs/>
                <w:color w:val="000000"/>
                <w:sz w:val="22"/>
              </w:rPr>
            </w:pPr>
            <w:r w:rsidRPr="003C1985">
              <w:rPr>
                <w:bCs/>
                <w:color w:val="000000"/>
                <w:sz w:val="22"/>
              </w:rPr>
              <w:t>1 (3.5)</w:t>
            </w:r>
          </w:p>
        </w:tc>
        <w:tc>
          <w:tcPr>
            <w:tcW w:w="1170" w:type="dxa"/>
            <w:shd w:val="clear" w:color="auto" w:fill="auto"/>
            <w:noWrap/>
          </w:tcPr>
          <w:p w14:paraId="333C9322" w14:textId="1D6E06A4" w:rsidR="00431FD2" w:rsidRPr="003C1985" w:rsidRDefault="001324D2" w:rsidP="00F42FBD">
            <w:pPr>
              <w:spacing w:line="360" w:lineRule="auto"/>
              <w:rPr>
                <w:bCs/>
                <w:color w:val="000000"/>
                <w:sz w:val="22"/>
              </w:rPr>
            </w:pPr>
            <w:r w:rsidRPr="003C1985">
              <w:rPr>
                <w:bCs/>
                <w:color w:val="000000"/>
                <w:sz w:val="22"/>
              </w:rPr>
              <w:t>7 (10.8)</w:t>
            </w:r>
          </w:p>
        </w:tc>
      </w:tr>
      <w:tr w:rsidR="008F0D57" w:rsidRPr="00A9026F" w14:paraId="2F0E9881" w14:textId="77777777" w:rsidTr="007E3854">
        <w:trPr>
          <w:trHeight w:val="72"/>
        </w:trPr>
        <w:tc>
          <w:tcPr>
            <w:tcW w:w="2752" w:type="dxa"/>
            <w:shd w:val="clear" w:color="auto" w:fill="auto"/>
            <w:noWrap/>
            <w:hideMark/>
          </w:tcPr>
          <w:p w14:paraId="66A919D9" w14:textId="2DF04D63" w:rsidR="009B7815" w:rsidRPr="00A9026F" w:rsidRDefault="009B7815" w:rsidP="00F42FBD">
            <w:pPr>
              <w:tabs>
                <w:tab w:val="left" w:pos="275"/>
              </w:tabs>
              <w:spacing w:line="360" w:lineRule="auto"/>
              <w:rPr>
                <w:bCs/>
                <w:color w:val="000000"/>
                <w:sz w:val="22"/>
              </w:rPr>
            </w:pPr>
            <w:r w:rsidRPr="00A9026F">
              <w:rPr>
                <w:bCs/>
                <w:color w:val="000000"/>
                <w:sz w:val="22"/>
              </w:rPr>
              <w:tab/>
            </w:r>
            <w:r w:rsidR="00431FD2">
              <w:rPr>
                <w:bCs/>
                <w:color w:val="000000"/>
                <w:sz w:val="22"/>
              </w:rPr>
              <w:t>Asian</w:t>
            </w:r>
          </w:p>
        </w:tc>
        <w:tc>
          <w:tcPr>
            <w:tcW w:w="1170" w:type="dxa"/>
            <w:shd w:val="clear" w:color="auto" w:fill="auto"/>
            <w:noWrap/>
          </w:tcPr>
          <w:p w14:paraId="00519AA3" w14:textId="1057094A" w:rsidR="009B7815" w:rsidRPr="00A9026F" w:rsidRDefault="006F15B1" w:rsidP="00F42FBD">
            <w:pPr>
              <w:spacing w:line="360" w:lineRule="auto"/>
              <w:rPr>
                <w:bCs/>
                <w:color w:val="000000"/>
                <w:sz w:val="22"/>
              </w:rPr>
            </w:pPr>
            <w:r>
              <w:rPr>
                <w:bCs/>
                <w:color w:val="000000"/>
                <w:sz w:val="22"/>
              </w:rPr>
              <w:t>0</w:t>
            </w:r>
            <w:r w:rsidR="002C348B">
              <w:rPr>
                <w:bCs/>
                <w:color w:val="000000"/>
                <w:sz w:val="22"/>
              </w:rPr>
              <w:t xml:space="preserve"> </w:t>
            </w:r>
            <w:r>
              <w:rPr>
                <w:bCs/>
                <w:color w:val="000000"/>
                <w:sz w:val="22"/>
              </w:rPr>
              <w:t>(0.0)</w:t>
            </w:r>
          </w:p>
        </w:tc>
        <w:tc>
          <w:tcPr>
            <w:tcW w:w="1350" w:type="dxa"/>
            <w:shd w:val="clear" w:color="auto" w:fill="auto"/>
            <w:noWrap/>
          </w:tcPr>
          <w:p w14:paraId="55A61BE8" w14:textId="4C2BFA50" w:rsidR="009B7815" w:rsidRPr="00A9026F" w:rsidRDefault="006F15B1" w:rsidP="00F42FBD">
            <w:pPr>
              <w:spacing w:line="360" w:lineRule="auto"/>
              <w:rPr>
                <w:bCs/>
                <w:color w:val="000000"/>
                <w:sz w:val="22"/>
              </w:rPr>
            </w:pPr>
            <w:r>
              <w:rPr>
                <w:bCs/>
                <w:color w:val="000000"/>
                <w:sz w:val="22"/>
              </w:rPr>
              <w:t>2</w:t>
            </w:r>
            <w:r w:rsidR="0013550D">
              <w:rPr>
                <w:bCs/>
                <w:color w:val="000000"/>
                <w:sz w:val="22"/>
              </w:rPr>
              <w:t xml:space="preserve"> </w:t>
            </w:r>
            <w:r w:rsidR="00DC6997">
              <w:rPr>
                <w:bCs/>
                <w:color w:val="000000"/>
                <w:sz w:val="22"/>
              </w:rPr>
              <w:t>(1.0)</w:t>
            </w:r>
          </w:p>
        </w:tc>
        <w:tc>
          <w:tcPr>
            <w:tcW w:w="1170" w:type="dxa"/>
          </w:tcPr>
          <w:p w14:paraId="337AEB30" w14:textId="691E7AB6" w:rsidR="009B7815" w:rsidRPr="00A9026F" w:rsidRDefault="009A640C" w:rsidP="00F42FBD">
            <w:pPr>
              <w:spacing w:line="360" w:lineRule="auto"/>
              <w:rPr>
                <w:bCs/>
                <w:color w:val="000000"/>
                <w:sz w:val="22"/>
              </w:rPr>
            </w:pPr>
            <w:r>
              <w:rPr>
                <w:bCs/>
                <w:color w:val="000000"/>
                <w:sz w:val="22"/>
              </w:rPr>
              <w:t>2 (0.8)</w:t>
            </w:r>
          </w:p>
        </w:tc>
        <w:tc>
          <w:tcPr>
            <w:tcW w:w="1170" w:type="dxa"/>
          </w:tcPr>
          <w:p w14:paraId="2AD1C03C" w14:textId="24993C13" w:rsidR="009B7815" w:rsidRPr="00A9026F" w:rsidRDefault="001F49B0" w:rsidP="00F42FBD">
            <w:pPr>
              <w:spacing w:line="360" w:lineRule="auto"/>
              <w:rPr>
                <w:bCs/>
                <w:color w:val="000000"/>
                <w:sz w:val="22"/>
              </w:rPr>
            </w:pPr>
            <w:r>
              <w:rPr>
                <w:bCs/>
                <w:color w:val="000000"/>
                <w:sz w:val="22"/>
              </w:rPr>
              <w:t>3</w:t>
            </w:r>
            <w:r w:rsidR="001324D2">
              <w:rPr>
                <w:bCs/>
                <w:color w:val="000000"/>
                <w:sz w:val="22"/>
              </w:rPr>
              <w:t xml:space="preserve"> (</w:t>
            </w:r>
            <w:r>
              <w:rPr>
                <w:bCs/>
                <w:color w:val="000000"/>
                <w:sz w:val="22"/>
              </w:rPr>
              <w:t>8.3</w:t>
            </w:r>
            <w:r w:rsidR="001324D2">
              <w:rPr>
                <w:bCs/>
                <w:color w:val="000000"/>
                <w:sz w:val="22"/>
              </w:rPr>
              <w:t>)</w:t>
            </w:r>
          </w:p>
        </w:tc>
        <w:tc>
          <w:tcPr>
            <w:tcW w:w="1350" w:type="dxa"/>
            <w:shd w:val="clear" w:color="auto" w:fill="auto"/>
            <w:noWrap/>
          </w:tcPr>
          <w:p w14:paraId="60897211" w14:textId="5789639A" w:rsidR="009B7815" w:rsidRPr="00A9026F" w:rsidRDefault="001324D2" w:rsidP="00F42FBD">
            <w:pPr>
              <w:spacing w:line="360" w:lineRule="auto"/>
              <w:rPr>
                <w:bCs/>
                <w:color w:val="000000"/>
                <w:sz w:val="22"/>
              </w:rPr>
            </w:pPr>
            <w:r>
              <w:rPr>
                <w:bCs/>
                <w:color w:val="000000"/>
                <w:sz w:val="22"/>
              </w:rPr>
              <w:t>1 (3.5)</w:t>
            </w:r>
          </w:p>
        </w:tc>
        <w:tc>
          <w:tcPr>
            <w:tcW w:w="1170" w:type="dxa"/>
            <w:shd w:val="clear" w:color="auto" w:fill="auto"/>
            <w:noWrap/>
          </w:tcPr>
          <w:p w14:paraId="13E9D5CA" w14:textId="21017BE0" w:rsidR="009B7815" w:rsidRPr="00A9026F" w:rsidRDefault="00C15FC4" w:rsidP="00F42FBD">
            <w:pPr>
              <w:spacing w:line="360" w:lineRule="auto"/>
              <w:rPr>
                <w:bCs/>
                <w:color w:val="000000"/>
                <w:sz w:val="22"/>
              </w:rPr>
            </w:pPr>
            <w:r>
              <w:rPr>
                <w:bCs/>
                <w:color w:val="000000"/>
                <w:sz w:val="22"/>
              </w:rPr>
              <w:t>4</w:t>
            </w:r>
            <w:r w:rsidR="001324D2">
              <w:rPr>
                <w:bCs/>
                <w:color w:val="000000"/>
                <w:sz w:val="22"/>
              </w:rPr>
              <w:t xml:space="preserve"> (</w:t>
            </w:r>
            <w:r>
              <w:rPr>
                <w:bCs/>
                <w:color w:val="000000"/>
                <w:sz w:val="22"/>
              </w:rPr>
              <w:t>6.</w:t>
            </w:r>
            <w:r w:rsidR="007A6DC3">
              <w:rPr>
                <w:bCs/>
                <w:color w:val="000000"/>
                <w:sz w:val="22"/>
              </w:rPr>
              <w:t>2</w:t>
            </w:r>
            <w:r w:rsidR="001324D2">
              <w:rPr>
                <w:bCs/>
                <w:color w:val="000000"/>
                <w:sz w:val="22"/>
              </w:rPr>
              <w:t>)</w:t>
            </w:r>
          </w:p>
        </w:tc>
      </w:tr>
      <w:tr w:rsidR="008F0D57" w:rsidRPr="00A9026F" w14:paraId="7CAA30ED" w14:textId="77777777" w:rsidTr="007E3854">
        <w:trPr>
          <w:trHeight w:val="233"/>
        </w:trPr>
        <w:tc>
          <w:tcPr>
            <w:tcW w:w="2752" w:type="dxa"/>
            <w:shd w:val="clear" w:color="auto" w:fill="auto"/>
            <w:noWrap/>
            <w:hideMark/>
          </w:tcPr>
          <w:p w14:paraId="5DFD6487" w14:textId="3C56EF56" w:rsidR="009B7815" w:rsidRPr="00A9026F" w:rsidRDefault="009B7815" w:rsidP="00F42FBD">
            <w:pPr>
              <w:tabs>
                <w:tab w:val="left" w:pos="275"/>
              </w:tabs>
              <w:spacing w:line="360" w:lineRule="auto"/>
              <w:rPr>
                <w:bCs/>
                <w:color w:val="000000"/>
                <w:sz w:val="22"/>
              </w:rPr>
            </w:pPr>
            <w:r w:rsidRPr="00A9026F">
              <w:rPr>
                <w:bCs/>
                <w:color w:val="000000"/>
                <w:sz w:val="22"/>
              </w:rPr>
              <w:tab/>
            </w:r>
            <w:r w:rsidR="00431FD2">
              <w:rPr>
                <w:bCs/>
                <w:color w:val="000000"/>
                <w:sz w:val="22"/>
              </w:rPr>
              <w:t>Hispanic</w:t>
            </w:r>
          </w:p>
        </w:tc>
        <w:tc>
          <w:tcPr>
            <w:tcW w:w="1170" w:type="dxa"/>
            <w:shd w:val="clear" w:color="auto" w:fill="auto"/>
            <w:noWrap/>
          </w:tcPr>
          <w:p w14:paraId="5D067CD0" w14:textId="617F78B3" w:rsidR="009B7815" w:rsidRPr="00A9026F" w:rsidRDefault="00AC69B7" w:rsidP="00F42FBD">
            <w:pPr>
              <w:spacing w:line="360" w:lineRule="auto"/>
              <w:rPr>
                <w:bCs/>
                <w:color w:val="000000"/>
                <w:sz w:val="22"/>
              </w:rPr>
            </w:pPr>
            <w:r>
              <w:rPr>
                <w:bCs/>
                <w:color w:val="000000"/>
                <w:sz w:val="22"/>
              </w:rPr>
              <w:t>3 (8.6)</w:t>
            </w:r>
          </w:p>
        </w:tc>
        <w:tc>
          <w:tcPr>
            <w:tcW w:w="1350" w:type="dxa"/>
            <w:shd w:val="clear" w:color="auto" w:fill="auto"/>
            <w:noWrap/>
          </w:tcPr>
          <w:p w14:paraId="5CEF155F" w14:textId="378DD55A" w:rsidR="009B7815" w:rsidRPr="00A9026F" w:rsidRDefault="00AC69B7" w:rsidP="00F42FBD">
            <w:pPr>
              <w:spacing w:line="360" w:lineRule="auto"/>
              <w:rPr>
                <w:bCs/>
                <w:color w:val="000000"/>
                <w:sz w:val="22"/>
              </w:rPr>
            </w:pPr>
            <w:r>
              <w:rPr>
                <w:bCs/>
                <w:color w:val="000000"/>
                <w:sz w:val="22"/>
              </w:rPr>
              <w:t>21 (10.2)</w:t>
            </w:r>
          </w:p>
        </w:tc>
        <w:tc>
          <w:tcPr>
            <w:tcW w:w="1170" w:type="dxa"/>
          </w:tcPr>
          <w:p w14:paraId="69C3E5D1" w14:textId="2BF3804D" w:rsidR="009B7815" w:rsidRPr="00A9026F" w:rsidRDefault="009A640C" w:rsidP="00F42FBD">
            <w:pPr>
              <w:spacing w:line="360" w:lineRule="auto"/>
              <w:rPr>
                <w:bCs/>
                <w:color w:val="000000"/>
                <w:sz w:val="22"/>
              </w:rPr>
            </w:pPr>
            <w:r>
              <w:rPr>
                <w:bCs/>
                <w:color w:val="000000"/>
                <w:sz w:val="22"/>
              </w:rPr>
              <w:t>24 (10.0)</w:t>
            </w:r>
          </w:p>
        </w:tc>
        <w:tc>
          <w:tcPr>
            <w:tcW w:w="1170" w:type="dxa"/>
          </w:tcPr>
          <w:p w14:paraId="674ED254" w14:textId="25A258E8" w:rsidR="009B7815" w:rsidRPr="00A9026F" w:rsidRDefault="00355C9D" w:rsidP="00F42FBD">
            <w:pPr>
              <w:spacing w:line="360" w:lineRule="auto"/>
              <w:rPr>
                <w:bCs/>
                <w:color w:val="000000"/>
                <w:sz w:val="22"/>
              </w:rPr>
            </w:pPr>
            <w:r>
              <w:rPr>
                <w:bCs/>
                <w:color w:val="000000"/>
                <w:sz w:val="22"/>
              </w:rPr>
              <w:t>3 (8.3)</w:t>
            </w:r>
          </w:p>
        </w:tc>
        <w:tc>
          <w:tcPr>
            <w:tcW w:w="1350" w:type="dxa"/>
            <w:shd w:val="clear" w:color="auto" w:fill="auto"/>
            <w:noWrap/>
          </w:tcPr>
          <w:p w14:paraId="5B13C73C" w14:textId="7C8A0FB4" w:rsidR="009B7815" w:rsidRPr="00A9026F" w:rsidRDefault="00355C9D" w:rsidP="00F42FBD">
            <w:pPr>
              <w:spacing w:line="360" w:lineRule="auto"/>
              <w:rPr>
                <w:bCs/>
                <w:color w:val="000000"/>
                <w:sz w:val="22"/>
              </w:rPr>
            </w:pPr>
            <w:r>
              <w:rPr>
                <w:bCs/>
                <w:color w:val="000000"/>
                <w:sz w:val="22"/>
              </w:rPr>
              <w:t>1 (3.5)</w:t>
            </w:r>
          </w:p>
        </w:tc>
        <w:tc>
          <w:tcPr>
            <w:tcW w:w="1170" w:type="dxa"/>
            <w:shd w:val="clear" w:color="auto" w:fill="auto"/>
            <w:noWrap/>
          </w:tcPr>
          <w:p w14:paraId="20CF2DF4" w14:textId="50F9FFFD" w:rsidR="009B7815" w:rsidRPr="00A9026F" w:rsidRDefault="00355C9D" w:rsidP="00F42FBD">
            <w:pPr>
              <w:spacing w:line="360" w:lineRule="auto"/>
              <w:rPr>
                <w:bCs/>
                <w:color w:val="000000"/>
                <w:sz w:val="22"/>
              </w:rPr>
            </w:pPr>
            <w:r>
              <w:rPr>
                <w:bCs/>
                <w:color w:val="000000"/>
                <w:sz w:val="22"/>
              </w:rPr>
              <w:t>4 (6.2)</w:t>
            </w:r>
          </w:p>
        </w:tc>
      </w:tr>
      <w:tr w:rsidR="007E3854" w:rsidRPr="00A9026F" w14:paraId="2E6FC6EF" w14:textId="77777777" w:rsidTr="007E3854">
        <w:trPr>
          <w:trHeight w:val="233"/>
        </w:trPr>
        <w:tc>
          <w:tcPr>
            <w:tcW w:w="2752" w:type="dxa"/>
            <w:shd w:val="clear" w:color="auto" w:fill="auto"/>
            <w:noWrap/>
          </w:tcPr>
          <w:p w14:paraId="0D4D5DA8" w14:textId="322AE682" w:rsidR="00431FD2" w:rsidRPr="00A9026F" w:rsidRDefault="00FC36FA" w:rsidP="00F42FBD">
            <w:pPr>
              <w:tabs>
                <w:tab w:val="left" w:pos="275"/>
              </w:tabs>
              <w:spacing w:line="360" w:lineRule="auto"/>
              <w:rPr>
                <w:bCs/>
                <w:color w:val="000000"/>
                <w:sz w:val="22"/>
              </w:rPr>
            </w:pPr>
            <w:r w:rsidRPr="00A9026F">
              <w:rPr>
                <w:bCs/>
                <w:color w:val="000000"/>
                <w:sz w:val="22"/>
              </w:rPr>
              <w:tab/>
            </w:r>
            <w:r>
              <w:rPr>
                <w:bCs/>
                <w:color w:val="000000"/>
                <w:sz w:val="22"/>
              </w:rPr>
              <w:t>Mixed race</w:t>
            </w:r>
          </w:p>
        </w:tc>
        <w:tc>
          <w:tcPr>
            <w:tcW w:w="1170" w:type="dxa"/>
            <w:shd w:val="clear" w:color="auto" w:fill="auto"/>
            <w:noWrap/>
          </w:tcPr>
          <w:p w14:paraId="6C0EB1BF" w14:textId="72464444" w:rsidR="00431FD2" w:rsidRPr="00A9026F" w:rsidRDefault="00AC69B7" w:rsidP="00F42FBD">
            <w:pPr>
              <w:spacing w:line="360" w:lineRule="auto"/>
              <w:rPr>
                <w:bCs/>
                <w:color w:val="000000"/>
                <w:sz w:val="22"/>
              </w:rPr>
            </w:pPr>
            <w:r>
              <w:rPr>
                <w:bCs/>
                <w:color w:val="000000"/>
                <w:sz w:val="22"/>
              </w:rPr>
              <w:t>4 (11.4)</w:t>
            </w:r>
          </w:p>
        </w:tc>
        <w:tc>
          <w:tcPr>
            <w:tcW w:w="1350" w:type="dxa"/>
            <w:shd w:val="clear" w:color="auto" w:fill="auto"/>
            <w:noWrap/>
          </w:tcPr>
          <w:p w14:paraId="0AC5E3AD" w14:textId="35473634" w:rsidR="00431FD2" w:rsidRPr="00A9026F" w:rsidRDefault="00AC69B7" w:rsidP="00F42FBD">
            <w:pPr>
              <w:spacing w:line="360" w:lineRule="auto"/>
              <w:rPr>
                <w:bCs/>
                <w:color w:val="000000"/>
                <w:sz w:val="22"/>
              </w:rPr>
            </w:pPr>
            <w:r>
              <w:rPr>
                <w:bCs/>
                <w:color w:val="000000"/>
                <w:sz w:val="22"/>
              </w:rPr>
              <w:t>17 (8.3)</w:t>
            </w:r>
          </w:p>
        </w:tc>
        <w:tc>
          <w:tcPr>
            <w:tcW w:w="1170" w:type="dxa"/>
          </w:tcPr>
          <w:p w14:paraId="64BC1DEA" w14:textId="213FE110" w:rsidR="00431FD2" w:rsidRPr="00A9026F" w:rsidRDefault="009A640C" w:rsidP="00F42FBD">
            <w:pPr>
              <w:spacing w:line="360" w:lineRule="auto"/>
              <w:rPr>
                <w:bCs/>
                <w:color w:val="000000"/>
                <w:sz w:val="22"/>
              </w:rPr>
            </w:pPr>
            <w:r>
              <w:rPr>
                <w:bCs/>
                <w:color w:val="000000"/>
                <w:sz w:val="22"/>
              </w:rPr>
              <w:t>21 (8.75)</w:t>
            </w:r>
          </w:p>
        </w:tc>
        <w:tc>
          <w:tcPr>
            <w:tcW w:w="1170" w:type="dxa"/>
          </w:tcPr>
          <w:p w14:paraId="1FD49172" w14:textId="60397201" w:rsidR="00431FD2" w:rsidRPr="00A9026F" w:rsidRDefault="00695D85" w:rsidP="00F42FBD">
            <w:pPr>
              <w:spacing w:line="360" w:lineRule="auto"/>
              <w:rPr>
                <w:bCs/>
                <w:color w:val="000000"/>
                <w:sz w:val="22"/>
              </w:rPr>
            </w:pPr>
            <w:r>
              <w:rPr>
                <w:bCs/>
                <w:color w:val="000000"/>
                <w:sz w:val="22"/>
              </w:rPr>
              <w:t>0 (0.0)</w:t>
            </w:r>
          </w:p>
        </w:tc>
        <w:tc>
          <w:tcPr>
            <w:tcW w:w="1350" w:type="dxa"/>
            <w:shd w:val="clear" w:color="auto" w:fill="auto"/>
            <w:noWrap/>
          </w:tcPr>
          <w:p w14:paraId="38DC8A6C" w14:textId="6D51F753" w:rsidR="00431FD2" w:rsidRPr="00A9026F" w:rsidRDefault="00695D85" w:rsidP="00F42FBD">
            <w:pPr>
              <w:spacing w:line="360" w:lineRule="auto"/>
              <w:rPr>
                <w:bCs/>
                <w:color w:val="000000"/>
                <w:sz w:val="22"/>
              </w:rPr>
            </w:pPr>
            <w:r>
              <w:rPr>
                <w:bCs/>
                <w:color w:val="000000"/>
                <w:sz w:val="22"/>
              </w:rPr>
              <w:t>2 (6.9)</w:t>
            </w:r>
          </w:p>
        </w:tc>
        <w:tc>
          <w:tcPr>
            <w:tcW w:w="1170" w:type="dxa"/>
            <w:shd w:val="clear" w:color="auto" w:fill="auto"/>
            <w:noWrap/>
          </w:tcPr>
          <w:p w14:paraId="7FB71A10" w14:textId="21DE6EEB" w:rsidR="00431FD2" w:rsidRPr="00A9026F" w:rsidRDefault="00695D85" w:rsidP="00F42FBD">
            <w:pPr>
              <w:spacing w:line="360" w:lineRule="auto"/>
              <w:rPr>
                <w:bCs/>
                <w:color w:val="000000"/>
                <w:sz w:val="22"/>
              </w:rPr>
            </w:pPr>
            <w:r>
              <w:rPr>
                <w:bCs/>
                <w:color w:val="000000"/>
                <w:sz w:val="22"/>
              </w:rPr>
              <w:t>2 (3.1)</w:t>
            </w:r>
          </w:p>
        </w:tc>
      </w:tr>
      <w:tr w:rsidR="008F0D57" w:rsidRPr="00A9026F" w14:paraId="697295EB" w14:textId="77777777" w:rsidTr="007E3854">
        <w:trPr>
          <w:trHeight w:val="72"/>
        </w:trPr>
        <w:tc>
          <w:tcPr>
            <w:tcW w:w="2752" w:type="dxa"/>
            <w:shd w:val="clear" w:color="auto" w:fill="auto"/>
            <w:noWrap/>
            <w:hideMark/>
          </w:tcPr>
          <w:p w14:paraId="2823F13B" w14:textId="77777777" w:rsidR="009B7815" w:rsidRPr="00A9026F" w:rsidRDefault="009B7815" w:rsidP="00F42FBD">
            <w:pPr>
              <w:tabs>
                <w:tab w:val="left" w:pos="275"/>
              </w:tabs>
              <w:spacing w:line="360" w:lineRule="auto"/>
              <w:rPr>
                <w:bCs/>
                <w:color w:val="000000"/>
                <w:sz w:val="22"/>
              </w:rPr>
            </w:pPr>
            <w:r w:rsidRPr="00A9026F">
              <w:rPr>
                <w:bCs/>
                <w:color w:val="000000"/>
                <w:sz w:val="22"/>
              </w:rPr>
              <w:tab/>
              <w:t>Other</w:t>
            </w:r>
          </w:p>
        </w:tc>
        <w:tc>
          <w:tcPr>
            <w:tcW w:w="1170" w:type="dxa"/>
            <w:shd w:val="clear" w:color="auto" w:fill="auto"/>
            <w:noWrap/>
          </w:tcPr>
          <w:p w14:paraId="05EA251A" w14:textId="0CB5CB5C" w:rsidR="009B7815" w:rsidRPr="00A9026F" w:rsidRDefault="0019019A" w:rsidP="00F42FBD">
            <w:pPr>
              <w:spacing w:line="360" w:lineRule="auto"/>
              <w:rPr>
                <w:bCs/>
                <w:color w:val="000000"/>
                <w:sz w:val="22"/>
              </w:rPr>
            </w:pPr>
            <w:r>
              <w:rPr>
                <w:bCs/>
                <w:color w:val="000000"/>
                <w:sz w:val="22"/>
              </w:rPr>
              <w:t>0 (0.0)</w:t>
            </w:r>
          </w:p>
        </w:tc>
        <w:tc>
          <w:tcPr>
            <w:tcW w:w="1350" w:type="dxa"/>
            <w:shd w:val="clear" w:color="auto" w:fill="auto"/>
            <w:noWrap/>
          </w:tcPr>
          <w:p w14:paraId="029E008F" w14:textId="0DE4966F" w:rsidR="009B7815" w:rsidRPr="00A9026F" w:rsidRDefault="004F7532" w:rsidP="00F42FBD">
            <w:pPr>
              <w:spacing w:line="360" w:lineRule="auto"/>
              <w:rPr>
                <w:bCs/>
                <w:color w:val="000000"/>
                <w:sz w:val="22"/>
              </w:rPr>
            </w:pPr>
            <w:r>
              <w:rPr>
                <w:bCs/>
                <w:color w:val="000000"/>
                <w:sz w:val="22"/>
              </w:rPr>
              <w:t>8 (3.9)</w:t>
            </w:r>
          </w:p>
        </w:tc>
        <w:tc>
          <w:tcPr>
            <w:tcW w:w="1170" w:type="dxa"/>
          </w:tcPr>
          <w:p w14:paraId="13B6007C" w14:textId="00D9ABF9" w:rsidR="009B7815" w:rsidRPr="00A9026F" w:rsidRDefault="006F15B1" w:rsidP="00F42FBD">
            <w:pPr>
              <w:spacing w:line="360" w:lineRule="auto"/>
              <w:rPr>
                <w:bCs/>
                <w:color w:val="000000"/>
                <w:sz w:val="22"/>
              </w:rPr>
            </w:pPr>
            <w:r>
              <w:rPr>
                <w:bCs/>
                <w:color w:val="000000"/>
                <w:sz w:val="22"/>
              </w:rPr>
              <w:t>8</w:t>
            </w:r>
            <w:r w:rsidR="00DC6997">
              <w:rPr>
                <w:bCs/>
                <w:color w:val="000000"/>
                <w:sz w:val="22"/>
              </w:rPr>
              <w:t xml:space="preserve"> (3.3)</w:t>
            </w:r>
          </w:p>
        </w:tc>
        <w:tc>
          <w:tcPr>
            <w:tcW w:w="1170" w:type="dxa"/>
          </w:tcPr>
          <w:p w14:paraId="37915376" w14:textId="16D77345" w:rsidR="009B7815" w:rsidRPr="00A9026F" w:rsidRDefault="00526EFD" w:rsidP="00F42FBD">
            <w:pPr>
              <w:spacing w:line="360" w:lineRule="auto"/>
              <w:rPr>
                <w:bCs/>
                <w:color w:val="000000"/>
                <w:sz w:val="22"/>
              </w:rPr>
            </w:pPr>
            <w:r>
              <w:rPr>
                <w:bCs/>
                <w:color w:val="000000"/>
                <w:sz w:val="22"/>
              </w:rPr>
              <w:t>5</w:t>
            </w:r>
            <w:r w:rsidR="00A100E9">
              <w:rPr>
                <w:bCs/>
                <w:color w:val="000000"/>
                <w:sz w:val="22"/>
              </w:rPr>
              <w:t xml:space="preserve"> (</w:t>
            </w:r>
            <w:r>
              <w:rPr>
                <w:bCs/>
                <w:color w:val="000000"/>
                <w:sz w:val="22"/>
              </w:rPr>
              <w:t>13</w:t>
            </w:r>
            <w:r w:rsidR="00A100E9">
              <w:rPr>
                <w:bCs/>
                <w:color w:val="000000"/>
                <w:sz w:val="22"/>
              </w:rPr>
              <w:t>.</w:t>
            </w:r>
            <w:r>
              <w:rPr>
                <w:bCs/>
                <w:color w:val="000000"/>
                <w:sz w:val="22"/>
              </w:rPr>
              <w:t>9</w:t>
            </w:r>
            <w:r w:rsidR="00A100E9">
              <w:rPr>
                <w:bCs/>
                <w:color w:val="000000"/>
                <w:sz w:val="22"/>
              </w:rPr>
              <w:t>)</w:t>
            </w:r>
          </w:p>
        </w:tc>
        <w:tc>
          <w:tcPr>
            <w:tcW w:w="1350" w:type="dxa"/>
            <w:shd w:val="clear" w:color="auto" w:fill="auto"/>
            <w:noWrap/>
          </w:tcPr>
          <w:p w14:paraId="02882493" w14:textId="52504535" w:rsidR="009B7815" w:rsidRPr="00A9026F" w:rsidRDefault="00526EFD" w:rsidP="00F42FBD">
            <w:pPr>
              <w:spacing w:line="360" w:lineRule="auto"/>
              <w:rPr>
                <w:bCs/>
                <w:color w:val="000000"/>
                <w:sz w:val="22"/>
              </w:rPr>
            </w:pPr>
            <w:r>
              <w:rPr>
                <w:bCs/>
                <w:color w:val="000000"/>
                <w:sz w:val="22"/>
              </w:rPr>
              <w:t>6</w:t>
            </w:r>
            <w:r w:rsidR="00A100E9">
              <w:rPr>
                <w:bCs/>
                <w:color w:val="000000"/>
                <w:sz w:val="22"/>
              </w:rPr>
              <w:t xml:space="preserve"> (</w:t>
            </w:r>
            <w:r>
              <w:rPr>
                <w:bCs/>
                <w:color w:val="000000"/>
                <w:sz w:val="22"/>
              </w:rPr>
              <w:t>20</w:t>
            </w:r>
            <w:r w:rsidR="00A100E9">
              <w:rPr>
                <w:bCs/>
                <w:color w:val="000000"/>
                <w:sz w:val="22"/>
              </w:rPr>
              <w:t>.</w:t>
            </w:r>
            <w:r>
              <w:rPr>
                <w:bCs/>
                <w:color w:val="000000"/>
                <w:sz w:val="22"/>
              </w:rPr>
              <w:t>7</w:t>
            </w:r>
            <w:r w:rsidR="00A100E9">
              <w:rPr>
                <w:bCs/>
                <w:color w:val="000000"/>
                <w:sz w:val="22"/>
              </w:rPr>
              <w:t>)</w:t>
            </w:r>
          </w:p>
        </w:tc>
        <w:tc>
          <w:tcPr>
            <w:tcW w:w="1170" w:type="dxa"/>
            <w:shd w:val="clear" w:color="auto" w:fill="auto"/>
            <w:noWrap/>
          </w:tcPr>
          <w:p w14:paraId="3BEFDED7" w14:textId="50641E84" w:rsidR="009B7815" w:rsidRPr="00A9026F" w:rsidRDefault="007A6DC3" w:rsidP="00F42FBD">
            <w:pPr>
              <w:spacing w:line="360" w:lineRule="auto"/>
              <w:rPr>
                <w:bCs/>
                <w:color w:val="000000"/>
                <w:sz w:val="22"/>
              </w:rPr>
            </w:pPr>
            <w:r>
              <w:rPr>
                <w:bCs/>
                <w:color w:val="000000"/>
                <w:sz w:val="22"/>
              </w:rPr>
              <w:t>11</w:t>
            </w:r>
            <w:r w:rsidR="00526EFD">
              <w:rPr>
                <w:bCs/>
                <w:color w:val="000000"/>
                <w:sz w:val="22"/>
              </w:rPr>
              <w:t xml:space="preserve"> </w:t>
            </w:r>
            <w:r w:rsidR="00A100E9">
              <w:rPr>
                <w:bCs/>
                <w:color w:val="000000"/>
                <w:sz w:val="22"/>
              </w:rPr>
              <w:t>(1</w:t>
            </w:r>
            <w:r w:rsidR="00526EFD">
              <w:rPr>
                <w:bCs/>
                <w:color w:val="000000"/>
                <w:sz w:val="22"/>
              </w:rPr>
              <w:t>6</w:t>
            </w:r>
            <w:r w:rsidR="00A100E9">
              <w:rPr>
                <w:bCs/>
                <w:color w:val="000000"/>
                <w:sz w:val="22"/>
              </w:rPr>
              <w:t>.</w:t>
            </w:r>
            <w:r w:rsidR="00526EFD">
              <w:rPr>
                <w:bCs/>
                <w:color w:val="000000"/>
                <w:sz w:val="22"/>
              </w:rPr>
              <w:t>9</w:t>
            </w:r>
            <w:r w:rsidR="00A100E9">
              <w:rPr>
                <w:bCs/>
                <w:color w:val="000000"/>
                <w:sz w:val="22"/>
              </w:rPr>
              <w:t>)</w:t>
            </w:r>
          </w:p>
        </w:tc>
      </w:tr>
      <w:tr w:rsidR="00023080" w:rsidRPr="00A9026F" w14:paraId="26A0FC89" w14:textId="77777777" w:rsidTr="001342E3">
        <w:trPr>
          <w:trHeight w:val="72"/>
        </w:trPr>
        <w:tc>
          <w:tcPr>
            <w:tcW w:w="10132" w:type="dxa"/>
            <w:gridSpan w:val="7"/>
            <w:shd w:val="clear" w:color="auto" w:fill="auto"/>
            <w:noWrap/>
            <w:hideMark/>
          </w:tcPr>
          <w:p w14:paraId="1F69C41D" w14:textId="38056007" w:rsidR="00023080" w:rsidRPr="00A9026F" w:rsidRDefault="00023080" w:rsidP="00F42FBD">
            <w:pPr>
              <w:spacing w:line="360" w:lineRule="auto"/>
              <w:rPr>
                <w:bCs/>
                <w:sz w:val="22"/>
              </w:rPr>
            </w:pPr>
            <w:r>
              <w:rPr>
                <w:bCs/>
                <w:color w:val="000000"/>
                <w:sz w:val="22"/>
              </w:rPr>
              <w:t>Country, n (%)</w:t>
            </w:r>
          </w:p>
        </w:tc>
      </w:tr>
      <w:tr w:rsidR="008F0D57" w:rsidRPr="00A9026F" w14:paraId="7A1A7BBF" w14:textId="77777777" w:rsidTr="007E3854">
        <w:trPr>
          <w:trHeight w:val="82"/>
        </w:trPr>
        <w:tc>
          <w:tcPr>
            <w:tcW w:w="2752" w:type="dxa"/>
            <w:shd w:val="clear" w:color="auto" w:fill="auto"/>
            <w:noWrap/>
            <w:hideMark/>
          </w:tcPr>
          <w:p w14:paraId="0904D363" w14:textId="3C5D2627" w:rsidR="009B7815" w:rsidRPr="00A9026F" w:rsidRDefault="009B7815" w:rsidP="00F42FBD">
            <w:pPr>
              <w:tabs>
                <w:tab w:val="left" w:pos="275"/>
              </w:tabs>
              <w:spacing w:line="360" w:lineRule="auto"/>
              <w:rPr>
                <w:bCs/>
                <w:color w:val="000000"/>
                <w:sz w:val="22"/>
              </w:rPr>
            </w:pPr>
            <w:r w:rsidRPr="00A9026F">
              <w:rPr>
                <w:bCs/>
                <w:color w:val="000000"/>
                <w:sz w:val="22"/>
              </w:rPr>
              <w:tab/>
            </w:r>
            <w:r w:rsidR="00FC36FA">
              <w:rPr>
                <w:bCs/>
                <w:color w:val="000000"/>
                <w:sz w:val="22"/>
              </w:rPr>
              <w:t>United States</w:t>
            </w:r>
          </w:p>
        </w:tc>
        <w:tc>
          <w:tcPr>
            <w:tcW w:w="1170" w:type="dxa"/>
            <w:shd w:val="clear" w:color="auto" w:fill="auto"/>
            <w:noWrap/>
          </w:tcPr>
          <w:p w14:paraId="192E389C" w14:textId="398DC258" w:rsidR="009B7815" w:rsidRPr="00A9026F" w:rsidRDefault="007E1F08" w:rsidP="00F42FBD">
            <w:pPr>
              <w:spacing w:line="360" w:lineRule="auto"/>
              <w:rPr>
                <w:bCs/>
                <w:color w:val="000000"/>
                <w:sz w:val="22"/>
              </w:rPr>
            </w:pPr>
            <w:r>
              <w:rPr>
                <w:bCs/>
                <w:color w:val="000000"/>
                <w:sz w:val="22"/>
              </w:rPr>
              <w:t>32 (91.43)</w:t>
            </w:r>
          </w:p>
        </w:tc>
        <w:tc>
          <w:tcPr>
            <w:tcW w:w="1350" w:type="dxa"/>
            <w:shd w:val="clear" w:color="auto" w:fill="auto"/>
            <w:noWrap/>
          </w:tcPr>
          <w:p w14:paraId="1D3E82A1" w14:textId="0E657354" w:rsidR="009B7815" w:rsidRPr="00A9026F" w:rsidRDefault="007E1F08" w:rsidP="00F42FBD">
            <w:pPr>
              <w:spacing w:line="360" w:lineRule="auto"/>
              <w:rPr>
                <w:bCs/>
                <w:color w:val="000000"/>
                <w:sz w:val="22"/>
              </w:rPr>
            </w:pPr>
            <w:r>
              <w:rPr>
                <w:bCs/>
                <w:color w:val="000000"/>
                <w:sz w:val="22"/>
              </w:rPr>
              <w:t>107 (52.2)</w:t>
            </w:r>
          </w:p>
        </w:tc>
        <w:tc>
          <w:tcPr>
            <w:tcW w:w="1170" w:type="dxa"/>
          </w:tcPr>
          <w:p w14:paraId="0259D3EB" w14:textId="65060A52" w:rsidR="009B7815" w:rsidRPr="00A9026F" w:rsidRDefault="007E1F08" w:rsidP="00F42FBD">
            <w:pPr>
              <w:spacing w:line="360" w:lineRule="auto"/>
              <w:rPr>
                <w:bCs/>
                <w:color w:val="000000"/>
                <w:sz w:val="22"/>
              </w:rPr>
            </w:pPr>
            <w:r>
              <w:rPr>
                <w:bCs/>
                <w:color w:val="000000"/>
                <w:sz w:val="22"/>
              </w:rPr>
              <w:t>139 (</w:t>
            </w:r>
            <w:r w:rsidR="001903DA">
              <w:rPr>
                <w:bCs/>
                <w:color w:val="000000"/>
                <w:sz w:val="22"/>
              </w:rPr>
              <w:t>57.9)</w:t>
            </w:r>
          </w:p>
        </w:tc>
        <w:tc>
          <w:tcPr>
            <w:tcW w:w="1170" w:type="dxa"/>
          </w:tcPr>
          <w:p w14:paraId="7A1D404F" w14:textId="33C6DD75" w:rsidR="009B7815" w:rsidRPr="00A9026F" w:rsidRDefault="00BA5C14" w:rsidP="00F42FBD">
            <w:pPr>
              <w:spacing w:line="360" w:lineRule="auto"/>
              <w:rPr>
                <w:bCs/>
                <w:color w:val="000000"/>
                <w:sz w:val="22"/>
              </w:rPr>
            </w:pPr>
            <w:r>
              <w:rPr>
                <w:bCs/>
                <w:color w:val="000000"/>
                <w:sz w:val="22"/>
              </w:rPr>
              <w:t>16 (44.4)</w:t>
            </w:r>
          </w:p>
        </w:tc>
        <w:tc>
          <w:tcPr>
            <w:tcW w:w="1350" w:type="dxa"/>
            <w:shd w:val="clear" w:color="auto" w:fill="auto"/>
            <w:noWrap/>
          </w:tcPr>
          <w:p w14:paraId="022618AF" w14:textId="419615CB" w:rsidR="009B7815" w:rsidRPr="00A9026F" w:rsidRDefault="00BA5C14" w:rsidP="00F42FBD">
            <w:pPr>
              <w:spacing w:line="360" w:lineRule="auto"/>
              <w:rPr>
                <w:bCs/>
                <w:color w:val="000000"/>
                <w:sz w:val="22"/>
              </w:rPr>
            </w:pPr>
            <w:r>
              <w:rPr>
                <w:bCs/>
                <w:color w:val="000000"/>
                <w:sz w:val="22"/>
              </w:rPr>
              <w:t>9 (31.0)</w:t>
            </w:r>
          </w:p>
        </w:tc>
        <w:tc>
          <w:tcPr>
            <w:tcW w:w="1170" w:type="dxa"/>
            <w:shd w:val="clear" w:color="auto" w:fill="auto"/>
            <w:noWrap/>
          </w:tcPr>
          <w:p w14:paraId="0A8D9BEA" w14:textId="6F2A9A08" w:rsidR="009B7815" w:rsidRPr="00A9026F" w:rsidRDefault="00BA5C14" w:rsidP="00F42FBD">
            <w:pPr>
              <w:spacing w:line="360" w:lineRule="auto"/>
              <w:rPr>
                <w:bCs/>
                <w:color w:val="000000"/>
                <w:sz w:val="22"/>
              </w:rPr>
            </w:pPr>
            <w:r>
              <w:rPr>
                <w:bCs/>
                <w:color w:val="000000"/>
                <w:sz w:val="22"/>
              </w:rPr>
              <w:t>25 (38.5)</w:t>
            </w:r>
          </w:p>
        </w:tc>
      </w:tr>
      <w:tr w:rsidR="008F0D57" w:rsidRPr="00A9026F" w14:paraId="459E3A33" w14:textId="77777777" w:rsidTr="007E3854">
        <w:trPr>
          <w:trHeight w:val="72"/>
        </w:trPr>
        <w:tc>
          <w:tcPr>
            <w:tcW w:w="2752" w:type="dxa"/>
            <w:shd w:val="clear" w:color="auto" w:fill="auto"/>
            <w:noWrap/>
            <w:hideMark/>
          </w:tcPr>
          <w:p w14:paraId="650A515C" w14:textId="05E12334" w:rsidR="009B7815" w:rsidRPr="00A9026F" w:rsidRDefault="009B7815" w:rsidP="00F42FBD">
            <w:pPr>
              <w:tabs>
                <w:tab w:val="left" w:pos="275"/>
              </w:tabs>
              <w:spacing w:line="360" w:lineRule="auto"/>
              <w:rPr>
                <w:bCs/>
                <w:color w:val="000000"/>
                <w:sz w:val="22"/>
              </w:rPr>
            </w:pPr>
            <w:r w:rsidRPr="00A9026F">
              <w:rPr>
                <w:bCs/>
                <w:color w:val="000000"/>
                <w:sz w:val="22"/>
              </w:rPr>
              <w:tab/>
            </w:r>
            <w:r w:rsidR="00FC36FA">
              <w:rPr>
                <w:bCs/>
                <w:color w:val="000000"/>
                <w:sz w:val="22"/>
              </w:rPr>
              <w:t>United Kingdom</w:t>
            </w:r>
          </w:p>
        </w:tc>
        <w:tc>
          <w:tcPr>
            <w:tcW w:w="1170" w:type="dxa"/>
            <w:shd w:val="clear" w:color="auto" w:fill="auto"/>
            <w:noWrap/>
          </w:tcPr>
          <w:p w14:paraId="57E023BE" w14:textId="226F292A" w:rsidR="009B7815" w:rsidRPr="00A9026F" w:rsidRDefault="001903DA" w:rsidP="00F42FBD">
            <w:pPr>
              <w:spacing w:line="360" w:lineRule="auto"/>
              <w:rPr>
                <w:bCs/>
                <w:color w:val="000000"/>
                <w:sz w:val="22"/>
              </w:rPr>
            </w:pPr>
            <w:r>
              <w:rPr>
                <w:bCs/>
                <w:color w:val="000000"/>
                <w:sz w:val="22"/>
              </w:rPr>
              <w:t>1 (2.</w:t>
            </w:r>
            <w:r w:rsidR="007420AC">
              <w:rPr>
                <w:bCs/>
                <w:color w:val="000000"/>
                <w:sz w:val="22"/>
              </w:rPr>
              <w:t>9</w:t>
            </w:r>
            <w:r>
              <w:rPr>
                <w:bCs/>
                <w:color w:val="000000"/>
                <w:sz w:val="22"/>
              </w:rPr>
              <w:t>)</w:t>
            </w:r>
          </w:p>
        </w:tc>
        <w:tc>
          <w:tcPr>
            <w:tcW w:w="1350" w:type="dxa"/>
            <w:shd w:val="clear" w:color="auto" w:fill="auto"/>
            <w:noWrap/>
          </w:tcPr>
          <w:p w14:paraId="4CC80A63" w14:textId="20E74CDE" w:rsidR="009B7815" w:rsidRPr="00A9026F" w:rsidRDefault="001903DA" w:rsidP="00F42FBD">
            <w:pPr>
              <w:spacing w:line="360" w:lineRule="auto"/>
              <w:rPr>
                <w:bCs/>
                <w:color w:val="000000"/>
                <w:sz w:val="22"/>
              </w:rPr>
            </w:pPr>
            <w:r>
              <w:rPr>
                <w:bCs/>
                <w:color w:val="000000"/>
                <w:sz w:val="22"/>
              </w:rPr>
              <w:t>16 (7.8)</w:t>
            </w:r>
          </w:p>
        </w:tc>
        <w:tc>
          <w:tcPr>
            <w:tcW w:w="1170" w:type="dxa"/>
          </w:tcPr>
          <w:p w14:paraId="30A18C5C" w14:textId="5105E0DF" w:rsidR="009B7815" w:rsidRPr="00A9026F" w:rsidRDefault="001903DA" w:rsidP="00F42FBD">
            <w:pPr>
              <w:spacing w:line="360" w:lineRule="auto"/>
              <w:rPr>
                <w:bCs/>
                <w:color w:val="000000"/>
                <w:sz w:val="22"/>
              </w:rPr>
            </w:pPr>
            <w:r>
              <w:rPr>
                <w:bCs/>
                <w:color w:val="000000"/>
                <w:sz w:val="22"/>
              </w:rPr>
              <w:t>17 (7.1)</w:t>
            </w:r>
          </w:p>
        </w:tc>
        <w:tc>
          <w:tcPr>
            <w:tcW w:w="1170" w:type="dxa"/>
          </w:tcPr>
          <w:p w14:paraId="59143190" w14:textId="69909EEE" w:rsidR="009B7815" w:rsidRPr="00A9026F" w:rsidRDefault="00E93024" w:rsidP="00F42FBD">
            <w:pPr>
              <w:spacing w:line="360" w:lineRule="auto"/>
              <w:rPr>
                <w:bCs/>
                <w:color w:val="000000"/>
                <w:sz w:val="22"/>
              </w:rPr>
            </w:pPr>
            <w:r>
              <w:rPr>
                <w:bCs/>
                <w:color w:val="000000"/>
                <w:sz w:val="22"/>
              </w:rPr>
              <w:t>5 (13.9)</w:t>
            </w:r>
          </w:p>
        </w:tc>
        <w:tc>
          <w:tcPr>
            <w:tcW w:w="1350" w:type="dxa"/>
            <w:shd w:val="clear" w:color="auto" w:fill="auto"/>
            <w:noWrap/>
          </w:tcPr>
          <w:p w14:paraId="3143540E" w14:textId="5461A8D0" w:rsidR="009B7815" w:rsidRPr="00A9026F" w:rsidRDefault="00E93024" w:rsidP="00F42FBD">
            <w:pPr>
              <w:spacing w:line="360" w:lineRule="auto"/>
              <w:rPr>
                <w:bCs/>
                <w:color w:val="000000"/>
                <w:sz w:val="22"/>
              </w:rPr>
            </w:pPr>
            <w:r>
              <w:rPr>
                <w:bCs/>
                <w:color w:val="000000"/>
                <w:sz w:val="22"/>
              </w:rPr>
              <w:t>4 (13.8)</w:t>
            </w:r>
          </w:p>
        </w:tc>
        <w:tc>
          <w:tcPr>
            <w:tcW w:w="1170" w:type="dxa"/>
            <w:shd w:val="clear" w:color="auto" w:fill="auto"/>
            <w:noWrap/>
          </w:tcPr>
          <w:p w14:paraId="7EFC59A0" w14:textId="35CEEB9B" w:rsidR="009B7815" w:rsidRPr="00A9026F" w:rsidRDefault="00E93024" w:rsidP="00F42FBD">
            <w:pPr>
              <w:spacing w:line="360" w:lineRule="auto"/>
              <w:rPr>
                <w:bCs/>
                <w:color w:val="000000"/>
                <w:sz w:val="22"/>
              </w:rPr>
            </w:pPr>
            <w:r>
              <w:rPr>
                <w:bCs/>
                <w:color w:val="000000"/>
                <w:sz w:val="22"/>
              </w:rPr>
              <w:t>9 (13.9)</w:t>
            </w:r>
          </w:p>
        </w:tc>
      </w:tr>
      <w:tr w:rsidR="008F0D57" w:rsidRPr="00A9026F" w14:paraId="63A5A293" w14:textId="77777777" w:rsidTr="007E3854">
        <w:trPr>
          <w:trHeight w:val="72"/>
        </w:trPr>
        <w:tc>
          <w:tcPr>
            <w:tcW w:w="2752" w:type="dxa"/>
            <w:shd w:val="clear" w:color="auto" w:fill="auto"/>
            <w:noWrap/>
            <w:hideMark/>
          </w:tcPr>
          <w:p w14:paraId="622B905D" w14:textId="4FE4B3B6" w:rsidR="009B7815" w:rsidRPr="00A9026F" w:rsidRDefault="009B7815" w:rsidP="00F42FBD">
            <w:pPr>
              <w:tabs>
                <w:tab w:val="left" w:pos="275"/>
              </w:tabs>
              <w:spacing w:line="360" w:lineRule="auto"/>
              <w:rPr>
                <w:bCs/>
                <w:color w:val="000000"/>
                <w:sz w:val="22"/>
              </w:rPr>
            </w:pPr>
            <w:r w:rsidRPr="00A9026F">
              <w:rPr>
                <w:bCs/>
                <w:color w:val="000000"/>
                <w:sz w:val="22"/>
              </w:rPr>
              <w:tab/>
            </w:r>
            <w:r w:rsidR="00FC36FA">
              <w:rPr>
                <w:bCs/>
                <w:color w:val="000000"/>
                <w:sz w:val="22"/>
              </w:rPr>
              <w:t>Brazil</w:t>
            </w:r>
          </w:p>
        </w:tc>
        <w:tc>
          <w:tcPr>
            <w:tcW w:w="1170" w:type="dxa"/>
            <w:shd w:val="clear" w:color="auto" w:fill="auto"/>
            <w:noWrap/>
          </w:tcPr>
          <w:p w14:paraId="3C4E37D2" w14:textId="1D8AE742" w:rsidR="009B7815" w:rsidRPr="00A9026F" w:rsidRDefault="00C10771" w:rsidP="00F42FBD">
            <w:pPr>
              <w:spacing w:line="360" w:lineRule="auto"/>
              <w:rPr>
                <w:bCs/>
                <w:color w:val="000000"/>
                <w:sz w:val="22"/>
              </w:rPr>
            </w:pPr>
            <w:r>
              <w:rPr>
                <w:bCs/>
                <w:color w:val="000000"/>
                <w:sz w:val="22"/>
              </w:rPr>
              <w:t>0 (0.0)</w:t>
            </w:r>
          </w:p>
        </w:tc>
        <w:tc>
          <w:tcPr>
            <w:tcW w:w="1350" w:type="dxa"/>
            <w:shd w:val="clear" w:color="auto" w:fill="auto"/>
            <w:noWrap/>
          </w:tcPr>
          <w:p w14:paraId="1FC04CAE" w14:textId="674768D6" w:rsidR="009B7815" w:rsidRPr="00A9026F" w:rsidRDefault="00C10771" w:rsidP="00F42FBD">
            <w:pPr>
              <w:spacing w:line="360" w:lineRule="auto"/>
              <w:rPr>
                <w:bCs/>
                <w:color w:val="000000"/>
                <w:sz w:val="22"/>
              </w:rPr>
            </w:pPr>
            <w:r>
              <w:rPr>
                <w:bCs/>
                <w:color w:val="000000"/>
                <w:sz w:val="22"/>
              </w:rPr>
              <w:t>29 (14.2)</w:t>
            </w:r>
          </w:p>
        </w:tc>
        <w:tc>
          <w:tcPr>
            <w:tcW w:w="1170" w:type="dxa"/>
          </w:tcPr>
          <w:p w14:paraId="4B7A296E" w14:textId="64BDFAB2" w:rsidR="009B7815" w:rsidRPr="00A9026F" w:rsidRDefault="00C10771" w:rsidP="00F42FBD">
            <w:pPr>
              <w:spacing w:line="360" w:lineRule="auto"/>
              <w:rPr>
                <w:bCs/>
                <w:color w:val="000000"/>
                <w:sz w:val="22"/>
              </w:rPr>
            </w:pPr>
            <w:r>
              <w:rPr>
                <w:bCs/>
                <w:color w:val="000000"/>
                <w:sz w:val="22"/>
              </w:rPr>
              <w:t>29 (12.1)</w:t>
            </w:r>
          </w:p>
        </w:tc>
        <w:tc>
          <w:tcPr>
            <w:tcW w:w="1170" w:type="dxa"/>
          </w:tcPr>
          <w:p w14:paraId="7B8E31B9" w14:textId="6C2DFB15" w:rsidR="009B7815" w:rsidRPr="00A9026F" w:rsidRDefault="00806A99" w:rsidP="00F42FBD">
            <w:pPr>
              <w:spacing w:line="360" w:lineRule="auto"/>
              <w:rPr>
                <w:bCs/>
                <w:color w:val="000000"/>
                <w:sz w:val="22"/>
              </w:rPr>
            </w:pPr>
            <w:r>
              <w:rPr>
                <w:bCs/>
                <w:color w:val="000000"/>
                <w:sz w:val="22"/>
              </w:rPr>
              <w:t>1 (2.8)</w:t>
            </w:r>
          </w:p>
        </w:tc>
        <w:tc>
          <w:tcPr>
            <w:tcW w:w="1350" w:type="dxa"/>
            <w:shd w:val="clear" w:color="auto" w:fill="auto"/>
            <w:noWrap/>
          </w:tcPr>
          <w:p w14:paraId="2F4A7D70" w14:textId="13E5079C" w:rsidR="009B7815" w:rsidRPr="00A9026F" w:rsidRDefault="00806A99" w:rsidP="00F42FBD">
            <w:pPr>
              <w:spacing w:line="360" w:lineRule="auto"/>
              <w:rPr>
                <w:bCs/>
                <w:color w:val="000000"/>
                <w:sz w:val="22"/>
              </w:rPr>
            </w:pPr>
            <w:r>
              <w:rPr>
                <w:bCs/>
                <w:color w:val="000000"/>
                <w:sz w:val="22"/>
              </w:rPr>
              <w:t>2 (6.9)</w:t>
            </w:r>
          </w:p>
        </w:tc>
        <w:tc>
          <w:tcPr>
            <w:tcW w:w="1170" w:type="dxa"/>
            <w:shd w:val="clear" w:color="auto" w:fill="auto"/>
            <w:noWrap/>
          </w:tcPr>
          <w:p w14:paraId="57BAFD70" w14:textId="5E31717F" w:rsidR="009B7815" w:rsidRPr="00A9026F" w:rsidRDefault="00806A99" w:rsidP="00F42FBD">
            <w:pPr>
              <w:spacing w:line="360" w:lineRule="auto"/>
              <w:rPr>
                <w:bCs/>
                <w:color w:val="000000"/>
                <w:sz w:val="22"/>
              </w:rPr>
            </w:pPr>
            <w:r>
              <w:rPr>
                <w:bCs/>
                <w:color w:val="000000"/>
                <w:sz w:val="22"/>
              </w:rPr>
              <w:t>3 (4.6)</w:t>
            </w:r>
          </w:p>
        </w:tc>
      </w:tr>
      <w:tr w:rsidR="008F0D57" w:rsidRPr="00A9026F" w14:paraId="0B0C8960" w14:textId="77777777" w:rsidTr="007E3854">
        <w:trPr>
          <w:trHeight w:val="72"/>
        </w:trPr>
        <w:tc>
          <w:tcPr>
            <w:tcW w:w="2752" w:type="dxa"/>
            <w:shd w:val="clear" w:color="auto" w:fill="auto"/>
            <w:noWrap/>
            <w:hideMark/>
          </w:tcPr>
          <w:p w14:paraId="645ABB8A" w14:textId="4FCF7379"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Sweden</w:t>
            </w:r>
          </w:p>
        </w:tc>
        <w:tc>
          <w:tcPr>
            <w:tcW w:w="1170" w:type="dxa"/>
            <w:shd w:val="clear" w:color="auto" w:fill="auto"/>
            <w:noWrap/>
          </w:tcPr>
          <w:p w14:paraId="07D98AAF" w14:textId="74D68EE3" w:rsidR="00BA5C14" w:rsidRPr="00A9026F" w:rsidRDefault="00BA5C14" w:rsidP="00F42FBD">
            <w:pPr>
              <w:spacing w:line="360" w:lineRule="auto"/>
              <w:rPr>
                <w:bCs/>
                <w:color w:val="000000"/>
                <w:sz w:val="22"/>
              </w:rPr>
            </w:pPr>
            <w:r>
              <w:rPr>
                <w:bCs/>
                <w:color w:val="000000"/>
                <w:sz w:val="22"/>
              </w:rPr>
              <w:t>0 (0.0)</w:t>
            </w:r>
          </w:p>
        </w:tc>
        <w:tc>
          <w:tcPr>
            <w:tcW w:w="1350" w:type="dxa"/>
            <w:shd w:val="clear" w:color="auto" w:fill="auto"/>
            <w:noWrap/>
          </w:tcPr>
          <w:p w14:paraId="3FA9FE1E" w14:textId="647C9F36" w:rsidR="00BA5C14" w:rsidRPr="00A9026F" w:rsidRDefault="00BA5C14" w:rsidP="00F42FBD">
            <w:pPr>
              <w:spacing w:line="360" w:lineRule="auto"/>
              <w:rPr>
                <w:bCs/>
                <w:color w:val="000000"/>
                <w:sz w:val="22"/>
              </w:rPr>
            </w:pPr>
            <w:r>
              <w:rPr>
                <w:bCs/>
                <w:color w:val="000000"/>
                <w:sz w:val="22"/>
              </w:rPr>
              <w:t>16 (7.8)</w:t>
            </w:r>
          </w:p>
        </w:tc>
        <w:tc>
          <w:tcPr>
            <w:tcW w:w="1170" w:type="dxa"/>
          </w:tcPr>
          <w:p w14:paraId="5AE84D66" w14:textId="0757DEAA" w:rsidR="00BA5C14" w:rsidRPr="00A9026F" w:rsidRDefault="00BA5C14" w:rsidP="00F42FBD">
            <w:pPr>
              <w:spacing w:line="360" w:lineRule="auto"/>
              <w:rPr>
                <w:bCs/>
                <w:color w:val="000000"/>
                <w:sz w:val="22"/>
              </w:rPr>
            </w:pPr>
            <w:r>
              <w:rPr>
                <w:bCs/>
                <w:color w:val="000000"/>
                <w:sz w:val="22"/>
              </w:rPr>
              <w:t>16 (7.8)</w:t>
            </w:r>
          </w:p>
        </w:tc>
        <w:tc>
          <w:tcPr>
            <w:tcW w:w="1170" w:type="dxa"/>
          </w:tcPr>
          <w:p w14:paraId="10A7F676" w14:textId="6F780AD2" w:rsidR="00BA5C14" w:rsidRPr="00A9026F" w:rsidRDefault="00BA5C14" w:rsidP="00F42FBD">
            <w:pPr>
              <w:spacing w:line="360" w:lineRule="auto"/>
              <w:rPr>
                <w:bCs/>
                <w:color w:val="000000"/>
                <w:sz w:val="22"/>
              </w:rPr>
            </w:pPr>
            <w:r w:rsidRPr="007C175F">
              <w:rPr>
                <w:bCs/>
                <w:color w:val="000000"/>
                <w:sz w:val="22"/>
              </w:rPr>
              <w:t>−</w:t>
            </w:r>
          </w:p>
        </w:tc>
        <w:tc>
          <w:tcPr>
            <w:tcW w:w="1350" w:type="dxa"/>
            <w:shd w:val="clear" w:color="auto" w:fill="auto"/>
            <w:noWrap/>
          </w:tcPr>
          <w:p w14:paraId="7786949E" w14:textId="6B440403" w:rsidR="00BA5C14" w:rsidRPr="00A9026F" w:rsidRDefault="00BA5C14" w:rsidP="00F42FBD">
            <w:pPr>
              <w:spacing w:line="360" w:lineRule="auto"/>
              <w:rPr>
                <w:bCs/>
                <w:color w:val="000000"/>
                <w:sz w:val="22"/>
              </w:rPr>
            </w:pPr>
            <w:r w:rsidRPr="007C175F">
              <w:rPr>
                <w:bCs/>
                <w:color w:val="000000"/>
                <w:sz w:val="22"/>
              </w:rPr>
              <w:t>−</w:t>
            </w:r>
          </w:p>
        </w:tc>
        <w:tc>
          <w:tcPr>
            <w:tcW w:w="1170" w:type="dxa"/>
            <w:shd w:val="clear" w:color="auto" w:fill="auto"/>
            <w:noWrap/>
          </w:tcPr>
          <w:p w14:paraId="01007BCC" w14:textId="2B5ACC52" w:rsidR="00BA5C14" w:rsidRPr="00A9026F" w:rsidRDefault="00BA5C14" w:rsidP="00F42FBD">
            <w:pPr>
              <w:spacing w:line="360" w:lineRule="auto"/>
              <w:rPr>
                <w:bCs/>
                <w:color w:val="000000"/>
                <w:sz w:val="22"/>
              </w:rPr>
            </w:pPr>
            <w:r w:rsidRPr="007C175F">
              <w:rPr>
                <w:bCs/>
                <w:color w:val="000000"/>
                <w:sz w:val="22"/>
              </w:rPr>
              <w:t>−</w:t>
            </w:r>
          </w:p>
        </w:tc>
      </w:tr>
      <w:tr w:rsidR="00BA5C14" w:rsidRPr="00A9026F" w14:paraId="37823DFE" w14:textId="77777777" w:rsidTr="007E3854">
        <w:trPr>
          <w:trHeight w:val="72"/>
        </w:trPr>
        <w:tc>
          <w:tcPr>
            <w:tcW w:w="2752" w:type="dxa"/>
            <w:shd w:val="clear" w:color="auto" w:fill="auto"/>
            <w:noWrap/>
          </w:tcPr>
          <w:p w14:paraId="134BF9F2" w14:textId="7BA60C70"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Argentina</w:t>
            </w:r>
          </w:p>
        </w:tc>
        <w:tc>
          <w:tcPr>
            <w:tcW w:w="1170" w:type="dxa"/>
            <w:shd w:val="clear" w:color="auto" w:fill="auto"/>
            <w:noWrap/>
          </w:tcPr>
          <w:p w14:paraId="64C0723B" w14:textId="66349858" w:rsidR="00BA5C14" w:rsidRDefault="00BA5C14" w:rsidP="00F42FBD">
            <w:pPr>
              <w:spacing w:line="360" w:lineRule="auto"/>
              <w:rPr>
                <w:bCs/>
                <w:color w:val="000000"/>
                <w:sz w:val="22"/>
              </w:rPr>
            </w:pPr>
            <w:r>
              <w:rPr>
                <w:bCs/>
                <w:color w:val="000000"/>
                <w:sz w:val="22"/>
              </w:rPr>
              <w:t>0 (0.0)</w:t>
            </w:r>
          </w:p>
        </w:tc>
        <w:tc>
          <w:tcPr>
            <w:tcW w:w="1350" w:type="dxa"/>
            <w:shd w:val="clear" w:color="auto" w:fill="auto"/>
            <w:noWrap/>
          </w:tcPr>
          <w:p w14:paraId="45EB3FEA" w14:textId="1BF4CE29" w:rsidR="00BA5C14" w:rsidRDefault="00BA5C14" w:rsidP="00F42FBD">
            <w:pPr>
              <w:spacing w:line="360" w:lineRule="auto"/>
              <w:rPr>
                <w:bCs/>
                <w:color w:val="000000"/>
                <w:sz w:val="22"/>
              </w:rPr>
            </w:pPr>
            <w:r>
              <w:rPr>
                <w:bCs/>
                <w:color w:val="000000"/>
                <w:sz w:val="22"/>
              </w:rPr>
              <w:t>13 (6.3)</w:t>
            </w:r>
          </w:p>
        </w:tc>
        <w:tc>
          <w:tcPr>
            <w:tcW w:w="1170" w:type="dxa"/>
          </w:tcPr>
          <w:p w14:paraId="6CFFBEDC" w14:textId="3233C6A1" w:rsidR="00BA5C14" w:rsidRDefault="00BA5C14" w:rsidP="00F42FBD">
            <w:pPr>
              <w:spacing w:line="360" w:lineRule="auto"/>
              <w:rPr>
                <w:bCs/>
                <w:color w:val="000000"/>
                <w:sz w:val="22"/>
              </w:rPr>
            </w:pPr>
            <w:r>
              <w:rPr>
                <w:bCs/>
                <w:color w:val="000000"/>
                <w:sz w:val="22"/>
              </w:rPr>
              <w:t>13 (5.4)</w:t>
            </w:r>
          </w:p>
        </w:tc>
        <w:tc>
          <w:tcPr>
            <w:tcW w:w="1170" w:type="dxa"/>
          </w:tcPr>
          <w:p w14:paraId="2A49E95F" w14:textId="3B0640AD" w:rsidR="00BA5C14" w:rsidRPr="00A9026F" w:rsidRDefault="00BA5C14" w:rsidP="00F42FBD">
            <w:pPr>
              <w:spacing w:line="360" w:lineRule="auto"/>
              <w:rPr>
                <w:bCs/>
                <w:color w:val="000000"/>
                <w:sz w:val="22"/>
              </w:rPr>
            </w:pPr>
            <w:r>
              <w:rPr>
                <w:bCs/>
                <w:color w:val="000000"/>
                <w:sz w:val="22"/>
              </w:rPr>
              <w:t>1 (2.8)</w:t>
            </w:r>
          </w:p>
        </w:tc>
        <w:tc>
          <w:tcPr>
            <w:tcW w:w="1350" w:type="dxa"/>
            <w:shd w:val="clear" w:color="auto" w:fill="auto"/>
            <w:noWrap/>
          </w:tcPr>
          <w:p w14:paraId="708AA744" w14:textId="3CA7FEC1" w:rsidR="00BA5C14" w:rsidRPr="00A9026F" w:rsidRDefault="00BA5C14" w:rsidP="00F42FBD">
            <w:pPr>
              <w:spacing w:line="360" w:lineRule="auto"/>
              <w:rPr>
                <w:bCs/>
                <w:color w:val="000000"/>
                <w:sz w:val="22"/>
              </w:rPr>
            </w:pPr>
            <w:r>
              <w:rPr>
                <w:bCs/>
                <w:color w:val="000000"/>
                <w:sz w:val="22"/>
              </w:rPr>
              <w:t>0 (0.0)</w:t>
            </w:r>
          </w:p>
        </w:tc>
        <w:tc>
          <w:tcPr>
            <w:tcW w:w="1170" w:type="dxa"/>
            <w:shd w:val="clear" w:color="auto" w:fill="auto"/>
            <w:noWrap/>
          </w:tcPr>
          <w:p w14:paraId="123FE008" w14:textId="29DC0D53" w:rsidR="00BA5C14" w:rsidRPr="00A9026F" w:rsidRDefault="00BA5C14" w:rsidP="00F42FBD">
            <w:pPr>
              <w:spacing w:line="360" w:lineRule="auto"/>
              <w:rPr>
                <w:bCs/>
                <w:color w:val="000000"/>
                <w:sz w:val="22"/>
              </w:rPr>
            </w:pPr>
            <w:r>
              <w:rPr>
                <w:bCs/>
                <w:color w:val="000000"/>
                <w:sz w:val="22"/>
              </w:rPr>
              <w:t>1 (1.5)</w:t>
            </w:r>
          </w:p>
        </w:tc>
      </w:tr>
      <w:tr w:rsidR="007E3854" w:rsidRPr="00A9026F" w14:paraId="04FB7B67" w14:textId="77777777" w:rsidTr="007E3854">
        <w:trPr>
          <w:trHeight w:val="72"/>
        </w:trPr>
        <w:tc>
          <w:tcPr>
            <w:tcW w:w="2752" w:type="dxa"/>
            <w:shd w:val="clear" w:color="auto" w:fill="auto"/>
            <w:noWrap/>
          </w:tcPr>
          <w:p w14:paraId="48959CB2" w14:textId="6BC84629"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France</w:t>
            </w:r>
          </w:p>
        </w:tc>
        <w:tc>
          <w:tcPr>
            <w:tcW w:w="1170" w:type="dxa"/>
            <w:shd w:val="clear" w:color="auto" w:fill="auto"/>
            <w:noWrap/>
          </w:tcPr>
          <w:p w14:paraId="2EA92EC3" w14:textId="592B7F7E" w:rsidR="00BA5C14" w:rsidRPr="00A9026F" w:rsidRDefault="00BA5C14" w:rsidP="00F42FBD">
            <w:pPr>
              <w:spacing w:line="360" w:lineRule="auto"/>
              <w:rPr>
                <w:bCs/>
                <w:color w:val="000000"/>
                <w:sz w:val="22"/>
              </w:rPr>
            </w:pPr>
            <w:r w:rsidRPr="007C175F">
              <w:rPr>
                <w:bCs/>
                <w:color w:val="000000"/>
                <w:sz w:val="22"/>
              </w:rPr>
              <w:t>−</w:t>
            </w:r>
          </w:p>
        </w:tc>
        <w:tc>
          <w:tcPr>
            <w:tcW w:w="1350" w:type="dxa"/>
            <w:shd w:val="clear" w:color="auto" w:fill="auto"/>
            <w:noWrap/>
          </w:tcPr>
          <w:p w14:paraId="2B73AE02" w14:textId="686C6B4E" w:rsidR="00BA5C14" w:rsidRPr="00A9026F" w:rsidRDefault="00BA5C14" w:rsidP="00F42FBD">
            <w:pPr>
              <w:spacing w:line="360" w:lineRule="auto"/>
              <w:rPr>
                <w:bCs/>
                <w:color w:val="000000"/>
                <w:sz w:val="22"/>
              </w:rPr>
            </w:pPr>
            <w:r w:rsidRPr="007C175F">
              <w:rPr>
                <w:bCs/>
                <w:color w:val="000000"/>
                <w:sz w:val="22"/>
              </w:rPr>
              <w:t>−</w:t>
            </w:r>
          </w:p>
        </w:tc>
        <w:tc>
          <w:tcPr>
            <w:tcW w:w="1170" w:type="dxa"/>
          </w:tcPr>
          <w:p w14:paraId="0FE73AED" w14:textId="79589E50" w:rsidR="00BA5C14" w:rsidRPr="00A9026F" w:rsidRDefault="00BA5C14" w:rsidP="00F42FBD">
            <w:pPr>
              <w:spacing w:line="360" w:lineRule="auto"/>
              <w:rPr>
                <w:bCs/>
                <w:color w:val="000000"/>
                <w:sz w:val="22"/>
              </w:rPr>
            </w:pPr>
            <w:r w:rsidRPr="007C175F">
              <w:rPr>
                <w:bCs/>
                <w:color w:val="000000"/>
                <w:sz w:val="22"/>
              </w:rPr>
              <w:t>−</w:t>
            </w:r>
          </w:p>
        </w:tc>
        <w:tc>
          <w:tcPr>
            <w:tcW w:w="1170" w:type="dxa"/>
          </w:tcPr>
          <w:p w14:paraId="34CC526A" w14:textId="6E61E443" w:rsidR="00BA5C14" w:rsidRPr="00A9026F" w:rsidRDefault="00BA5C14" w:rsidP="00F42FBD">
            <w:pPr>
              <w:spacing w:line="360" w:lineRule="auto"/>
              <w:rPr>
                <w:bCs/>
                <w:color w:val="000000"/>
                <w:sz w:val="22"/>
              </w:rPr>
            </w:pPr>
            <w:r>
              <w:rPr>
                <w:bCs/>
                <w:color w:val="000000"/>
                <w:sz w:val="22"/>
              </w:rPr>
              <w:t>1 (2.8)</w:t>
            </w:r>
          </w:p>
        </w:tc>
        <w:tc>
          <w:tcPr>
            <w:tcW w:w="1350" w:type="dxa"/>
            <w:shd w:val="clear" w:color="auto" w:fill="auto"/>
            <w:noWrap/>
          </w:tcPr>
          <w:p w14:paraId="1D828ED1" w14:textId="4F3FC31C" w:rsidR="00BA5C14" w:rsidRPr="00A9026F" w:rsidRDefault="00BA5C14" w:rsidP="00F42FBD">
            <w:pPr>
              <w:spacing w:line="360" w:lineRule="auto"/>
              <w:rPr>
                <w:bCs/>
                <w:color w:val="000000"/>
                <w:sz w:val="22"/>
              </w:rPr>
            </w:pPr>
            <w:r>
              <w:rPr>
                <w:bCs/>
                <w:color w:val="000000"/>
                <w:sz w:val="22"/>
              </w:rPr>
              <w:t>10 (34.5)</w:t>
            </w:r>
          </w:p>
        </w:tc>
        <w:tc>
          <w:tcPr>
            <w:tcW w:w="1170" w:type="dxa"/>
            <w:shd w:val="clear" w:color="auto" w:fill="auto"/>
            <w:noWrap/>
          </w:tcPr>
          <w:p w14:paraId="34ADA764" w14:textId="3BEF41D9" w:rsidR="00BA5C14" w:rsidRPr="00A9026F" w:rsidRDefault="00BA5C14" w:rsidP="00F42FBD">
            <w:pPr>
              <w:spacing w:line="360" w:lineRule="auto"/>
              <w:rPr>
                <w:bCs/>
                <w:color w:val="000000"/>
                <w:sz w:val="22"/>
              </w:rPr>
            </w:pPr>
            <w:r>
              <w:rPr>
                <w:bCs/>
                <w:color w:val="000000"/>
                <w:sz w:val="22"/>
              </w:rPr>
              <w:t>11 (16.9)</w:t>
            </w:r>
          </w:p>
        </w:tc>
      </w:tr>
      <w:tr w:rsidR="007E3854" w:rsidRPr="00A9026F" w14:paraId="14D60168" w14:textId="77777777" w:rsidTr="007E3854">
        <w:trPr>
          <w:trHeight w:val="72"/>
        </w:trPr>
        <w:tc>
          <w:tcPr>
            <w:tcW w:w="2752" w:type="dxa"/>
            <w:shd w:val="clear" w:color="auto" w:fill="auto"/>
            <w:noWrap/>
          </w:tcPr>
          <w:p w14:paraId="3EB9CA40" w14:textId="0612D6CC"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Italy</w:t>
            </w:r>
          </w:p>
        </w:tc>
        <w:tc>
          <w:tcPr>
            <w:tcW w:w="1170" w:type="dxa"/>
            <w:shd w:val="clear" w:color="auto" w:fill="auto"/>
            <w:noWrap/>
          </w:tcPr>
          <w:p w14:paraId="7890DD0D" w14:textId="61E46832" w:rsidR="00BA5C14" w:rsidRPr="00A9026F" w:rsidRDefault="00BA5C14" w:rsidP="00F42FBD">
            <w:pPr>
              <w:spacing w:line="360" w:lineRule="auto"/>
              <w:rPr>
                <w:bCs/>
                <w:color w:val="000000"/>
                <w:sz w:val="22"/>
              </w:rPr>
            </w:pPr>
            <w:r>
              <w:rPr>
                <w:bCs/>
                <w:color w:val="000000"/>
                <w:sz w:val="22"/>
              </w:rPr>
              <w:t>0 (0.0)</w:t>
            </w:r>
          </w:p>
        </w:tc>
        <w:tc>
          <w:tcPr>
            <w:tcW w:w="1350" w:type="dxa"/>
            <w:shd w:val="clear" w:color="auto" w:fill="auto"/>
            <w:noWrap/>
          </w:tcPr>
          <w:p w14:paraId="687D39D3" w14:textId="127E27E0" w:rsidR="00BA5C14" w:rsidRPr="00A9026F" w:rsidRDefault="00BA5C14" w:rsidP="00F42FBD">
            <w:pPr>
              <w:spacing w:line="360" w:lineRule="auto"/>
              <w:rPr>
                <w:bCs/>
                <w:color w:val="000000"/>
                <w:sz w:val="22"/>
              </w:rPr>
            </w:pPr>
            <w:r>
              <w:rPr>
                <w:bCs/>
                <w:color w:val="000000"/>
                <w:sz w:val="22"/>
              </w:rPr>
              <w:t>1 (0.5)</w:t>
            </w:r>
          </w:p>
        </w:tc>
        <w:tc>
          <w:tcPr>
            <w:tcW w:w="1170" w:type="dxa"/>
          </w:tcPr>
          <w:p w14:paraId="27204878" w14:textId="0CCC6A76" w:rsidR="00BA5C14" w:rsidRPr="00A9026F" w:rsidRDefault="00BA5C14" w:rsidP="00F42FBD">
            <w:pPr>
              <w:spacing w:line="360" w:lineRule="auto"/>
              <w:rPr>
                <w:bCs/>
                <w:color w:val="000000"/>
                <w:sz w:val="22"/>
              </w:rPr>
            </w:pPr>
            <w:r>
              <w:rPr>
                <w:bCs/>
                <w:color w:val="000000"/>
                <w:sz w:val="22"/>
              </w:rPr>
              <w:t>1 (0.4)</w:t>
            </w:r>
          </w:p>
        </w:tc>
        <w:tc>
          <w:tcPr>
            <w:tcW w:w="1170" w:type="dxa"/>
          </w:tcPr>
          <w:p w14:paraId="1C88DDE4" w14:textId="191CD92E" w:rsidR="00BA5C14" w:rsidRPr="00A9026F" w:rsidRDefault="00BA5C14" w:rsidP="00F42FBD">
            <w:pPr>
              <w:spacing w:line="360" w:lineRule="auto"/>
              <w:rPr>
                <w:bCs/>
                <w:color w:val="000000"/>
                <w:sz w:val="22"/>
              </w:rPr>
            </w:pPr>
            <w:r>
              <w:rPr>
                <w:bCs/>
                <w:color w:val="000000"/>
                <w:sz w:val="22"/>
              </w:rPr>
              <w:t>5 (13.9)</w:t>
            </w:r>
          </w:p>
        </w:tc>
        <w:tc>
          <w:tcPr>
            <w:tcW w:w="1350" w:type="dxa"/>
            <w:shd w:val="clear" w:color="auto" w:fill="auto"/>
            <w:noWrap/>
          </w:tcPr>
          <w:p w14:paraId="49B53371" w14:textId="02C488EA" w:rsidR="00BA5C14" w:rsidRPr="00A9026F" w:rsidRDefault="00BA5C14" w:rsidP="00F42FBD">
            <w:pPr>
              <w:spacing w:line="360" w:lineRule="auto"/>
              <w:rPr>
                <w:bCs/>
                <w:color w:val="000000"/>
                <w:sz w:val="22"/>
              </w:rPr>
            </w:pPr>
            <w:r>
              <w:rPr>
                <w:bCs/>
                <w:color w:val="000000"/>
                <w:sz w:val="22"/>
              </w:rPr>
              <w:t>1 (3.5)</w:t>
            </w:r>
          </w:p>
        </w:tc>
        <w:tc>
          <w:tcPr>
            <w:tcW w:w="1170" w:type="dxa"/>
            <w:shd w:val="clear" w:color="auto" w:fill="auto"/>
            <w:noWrap/>
          </w:tcPr>
          <w:p w14:paraId="4783580F" w14:textId="48C52C42" w:rsidR="00BA5C14" w:rsidRPr="00A9026F" w:rsidRDefault="00BA5C14" w:rsidP="00F42FBD">
            <w:pPr>
              <w:spacing w:line="360" w:lineRule="auto"/>
              <w:rPr>
                <w:bCs/>
                <w:color w:val="000000"/>
                <w:sz w:val="22"/>
              </w:rPr>
            </w:pPr>
            <w:r>
              <w:rPr>
                <w:bCs/>
                <w:color w:val="000000"/>
                <w:sz w:val="22"/>
              </w:rPr>
              <w:t>6 (9.2)</w:t>
            </w:r>
          </w:p>
        </w:tc>
      </w:tr>
      <w:tr w:rsidR="007E3854" w:rsidRPr="00A9026F" w14:paraId="3B7409BB" w14:textId="77777777" w:rsidTr="007E3854">
        <w:trPr>
          <w:trHeight w:val="72"/>
        </w:trPr>
        <w:tc>
          <w:tcPr>
            <w:tcW w:w="2752" w:type="dxa"/>
            <w:shd w:val="clear" w:color="auto" w:fill="auto"/>
            <w:noWrap/>
          </w:tcPr>
          <w:p w14:paraId="7100B0F8" w14:textId="43710D78"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Other</w:t>
            </w:r>
          </w:p>
        </w:tc>
        <w:tc>
          <w:tcPr>
            <w:tcW w:w="1170" w:type="dxa"/>
            <w:shd w:val="clear" w:color="auto" w:fill="auto"/>
            <w:noWrap/>
          </w:tcPr>
          <w:p w14:paraId="42921128" w14:textId="2783911A" w:rsidR="00BA5C14" w:rsidRPr="00A9026F" w:rsidRDefault="00CE7BB3" w:rsidP="00F42FBD">
            <w:pPr>
              <w:spacing w:line="360" w:lineRule="auto"/>
              <w:rPr>
                <w:bCs/>
                <w:color w:val="000000"/>
                <w:sz w:val="22"/>
              </w:rPr>
            </w:pPr>
            <w:r>
              <w:rPr>
                <w:bCs/>
                <w:color w:val="000000"/>
                <w:sz w:val="22"/>
              </w:rPr>
              <w:t>2</w:t>
            </w:r>
          </w:p>
        </w:tc>
        <w:tc>
          <w:tcPr>
            <w:tcW w:w="1350" w:type="dxa"/>
            <w:shd w:val="clear" w:color="auto" w:fill="auto"/>
            <w:noWrap/>
          </w:tcPr>
          <w:p w14:paraId="78A8F721" w14:textId="1BF9AB50" w:rsidR="00BA5C14" w:rsidRPr="00A9026F" w:rsidRDefault="00CE7BB3" w:rsidP="00F42FBD">
            <w:pPr>
              <w:spacing w:line="360" w:lineRule="auto"/>
              <w:rPr>
                <w:bCs/>
                <w:color w:val="000000"/>
                <w:sz w:val="22"/>
              </w:rPr>
            </w:pPr>
            <w:r>
              <w:rPr>
                <w:bCs/>
                <w:color w:val="000000"/>
                <w:sz w:val="22"/>
              </w:rPr>
              <w:t>23</w:t>
            </w:r>
          </w:p>
        </w:tc>
        <w:tc>
          <w:tcPr>
            <w:tcW w:w="1170" w:type="dxa"/>
          </w:tcPr>
          <w:p w14:paraId="051DB7C2" w14:textId="48BEDB24" w:rsidR="00BA5C14" w:rsidRPr="00A9026F" w:rsidRDefault="00CE7BB3" w:rsidP="00F42FBD">
            <w:pPr>
              <w:spacing w:line="360" w:lineRule="auto"/>
              <w:rPr>
                <w:bCs/>
                <w:color w:val="000000"/>
                <w:sz w:val="22"/>
              </w:rPr>
            </w:pPr>
            <w:r>
              <w:rPr>
                <w:bCs/>
                <w:color w:val="000000"/>
                <w:sz w:val="22"/>
              </w:rPr>
              <w:t>25</w:t>
            </w:r>
            <w:r w:rsidR="009632F2" w:rsidRPr="00A94938">
              <w:rPr>
                <w:bCs/>
                <w:color w:val="000000"/>
                <w:sz w:val="22"/>
                <w:vertAlign w:val="superscript"/>
              </w:rPr>
              <w:t>*</w:t>
            </w:r>
          </w:p>
        </w:tc>
        <w:tc>
          <w:tcPr>
            <w:tcW w:w="1170" w:type="dxa"/>
          </w:tcPr>
          <w:p w14:paraId="601F503C" w14:textId="255E8A2A" w:rsidR="00BA5C14" w:rsidRPr="00A9026F" w:rsidRDefault="00F27F14" w:rsidP="00F42FBD">
            <w:pPr>
              <w:spacing w:line="360" w:lineRule="auto"/>
              <w:rPr>
                <w:bCs/>
                <w:color w:val="000000"/>
                <w:sz w:val="22"/>
              </w:rPr>
            </w:pPr>
            <w:r>
              <w:rPr>
                <w:bCs/>
                <w:color w:val="000000"/>
                <w:sz w:val="22"/>
              </w:rPr>
              <w:t>7 (19.4)</w:t>
            </w:r>
          </w:p>
        </w:tc>
        <w:tc>
          <w:tcPr>
            <w:tcW w:w="1350" w:type="dxa"/>
            <w:shd w:val="clear" w:color="auto" w:fill="auto"/>
            <w:noWrap/>
          </w:tcPr>
          <w:p w14:paraId="2C5607EE" w14:textId="3B1BB3D7" w:rsidR="00BA5C14" w:rsidRPr="00A9026F" w:rsidRDefault="00F27F14" w:rsidP="00F42FBD">
            <w:pPr>
              <w:spacing w:line="360" w:lineRule="auto"/>
              <w:rPr>
                <w:bCs/>
                <w:color w:val="000000"/>
                <w:sz w:val="22"/>
              </w:rPr>
            </w:pPr>
            <w:r>
              <w:rPr>
                <w:bCs/>
                <w:color w:val="000000"/>
                <w:sz w:val="22"/>
              </w:rPr>
              <w:t>3</w:t>
            </w:r>
            <w:r w:rsidR="00EF4E81">
              <w:rPr>
                <w:bCs/>
                <w:color w:val="000000"/>
                <w:sz w:val="22"/>
              </w:rPr>
              <w:t xml:space="preserve"> (10.3)</w:t>
            </w:r>
          </w:p>
        </w:tc>
        <w:tc>
          <w:tcPr>
            <w:tcW w:w="1170" w:type="dxa"/>
            <w:shd w:val="clear" w:color="auto" w:fill="auto"/>
            <w:noWrap/>
          </w:tcPr>
          <w:p w14:paraId="7B7B1225" w14:textId="545A3B5F" w:rsidR="00BA5C14" w:rsidRPr="009632F2" w:rsidRDefault="00F27F14" w:rsidP="00F42FBD">
            <w:pPr>
              <w:spacing w:line="360" w:lineRule="auto"/>
              <w:rPr>
                <w:bCs/>
                <w:color w:val="000000"/>
                <w:sz w:val="22"/>
                <w:szCs w:val="22"/>
              </w:rPr>
            </w:pPr>
            <w:r>
              <w:rPr>
                <w:rFonts w:eastAsiaTheme="minorEastAsia"/>
                <w:sz w:val="22"/>
                <w:szCs w:val="22"/>
              </w:rPr>
              <w:t xml:space="preserve">10 </w:t>
            </w:r>
            <w:r w:rsidR="00EF4E81">
              <w:rPr>
                <w:rFonts w:eastAsiaTheme="minorEastAsia"/>
                <w:sz w:val="22"/>
                <w:szCs w:val="22"/>
              </w:rPr>
              <w:t>(</w:t>
            </w:r>
            <w:proofErr w:type="gramStart"/>
            <w:r w:rsidR="00EF4E81">
              <w:rPr>
                <w:rFonts w:eastAsiaTheme="minorEastAsia"/>
                <w:sz w:val="22"/>
                <w:szCs w:val="22"/>
              </w:rPr>
              <w:t>15.4</w:t>
            </w:r>
            <w:r w:rsidR="00A94938" w:rsidRPr="009632F2">
              <w:rPr>
                <w:rFonts w:eastAsiaTheme="minorEastAsia"/>
                <w:sz w:val="22"/>
                <w:szCs w:val="22"/>
              </w:rPr>
              <w:t>)</w:t>
            </w:r>
            <w:r w:rsidR="00BA5C14" w:rsidRPr="00F579F5">
              <w:rPr>
                <w:rFonts w:eastAsiaTheme="minorEastAsia"/>
                <w:sz w:val="22"/>
                <w:szCs w:val="22"/>
                <w:vertAlign w:val="superscript"/>
              </w:rPr>
              <w:t>†</w:t>
            </w:r>
            <w:proofErr w:type="gramEnd"/>
          </w:p>
        </w:tc>
      </w:tr>
      <w:tr w:rsidR="00023080" w:rsidRPr="00A9026F" w14:paraId="34C66527" w14:textId="77777777" w:rsidTr="001A66B3">
        <w:trPr>
          <w:trHeight w:val="72"/>
        </w:trPr>
        <w:tc>
          <w:tcPr>
            <w:tcW w:w="10132" w:type="dxa"/>
            <w:gridSpan w:val="7"/>
            <w:shd w:val="clear" w:color="auto" w:fill="auto"/>
            <w:noWrap/>
          </w:tcPr>
          <w:p w14:paraId="3B2926E8" w14:textId="260CDB96" w:rsidR="00023080" w:rsidRPr="00A9026F" w:rsidRDefault="00023080" w:rsidP="00F42FBD">
            <w:pPr>
              <w:spacing w:line="360" w:lineRule="auto"/>
              <w:rPr>
                <w:bCs/>
                <w:color w:val="000000"/>
                <w:sz w:val="22"/>
              </w:rPr>
            </w:pPr>
            <w:r>
              <w:rPr>
                <w:bCs/>
                <w:color w:val="000000"/>
                <w:sz w:val="22"/>
              </w:rPr>
              <w:t>Comorbidities, n (%)</w:t>
            </w:r>
          </w:p>
        </w:tc>
      </w:tr>
      <w:tr w:rsidR="007E3854" w:rsidRPr="00A9026F" w14:paraId="0EBA27F7" w14:textId="77777777" w:rsidTr="007E3854">
        <w:trPr>
          <w:trHeight w:val="72"/>
        </w:trPr>
        <w:tc>
          <w:tcPr>
            <w:tcW w:w="2752" w:type="dxa"/>
            <w:shd w:val="clear" w:color="auto" w:fill="auto"/>
            <w:noWrap/>
          </w:tcPr>
          <w:p w14:paraId="3A235EF6" w14:textId="7A680760"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Obesity</w:t>
            </w:r>
          </w:p>
        </w:tc>
        <w:tc>
          <w:tcPr>
            <w:tcW w:w="1170" w:type="dxa"/>
            <w:shd w:val="clear" w:color="auto" w:fill="auto"/>
            <w:noWrap/>
          </w:tcPr>
          <w:p w14:paraId="79FEDC61" w14:textId="36DD46E2" w:rsidR="00BA5C14" w:rsidRPr="00A9026F" w:rsidRDefault="00BA5C14" w:rsidP="00F42FBD">
            <w:pPr>
              <w:spacing w:line="360" w:lineRule="auto"/>
              <w:rPr>
                <w:bCs/>
                <w:color w:val="000000"/>
                <w:sz w:val="22"/>
              </w:rPr>
            </w:pPr>
            <w:r>
              <w:rPr>
                <w:bCs/>
                <w:color w:val="000000"/>
                <w:sz w:val="22"/>
              </w:rPr>
              <w:t>25 (71.4)</w:t>
            </w:r>
          </w:p>
        </w:tc>
        <w:tc>
          <w:tcPr>
            <w:tcW w:w="1350" w:type="dxa"/>
            <w:shd w:val="clear" w:color="auto" w:fill="auto"/>
            <w:noWrap/>
          </w:tcPr>
          <w:p w14:paraId="41596D59" w14:textId="61F518C0" w:rsidR="00BA5C14" w:rsidRPr="00A9026F" w:rsidRDefault="00BA5C14" w:rsidP="00F42FBD">
            <w:pPr>
              <w:spacing w:line="360" w:lineRule="auto"/>
              <w:rPr>
                <w:bCs/>
                <w:color w:val="000000"/>
                <w:sz w:val="22"/>
              </w:rPr>
            </w:pPr>
            <w:r>
              <w:rPr>
                <w:bCs/>
                <w:color w:val="000000"/>
                <w:sz w:val="22"/>
              </w:rPr>
              <w:t>127 (62.0)</w:t>
            </w:r>
          </w:p>
        </w:tc>
        <w:tc>
          <w:tcPr>
            <w:tcW w:w="1170" w:type="dxa"/>
          </w:tcPr>
          <w:p w14:paraId="1EC4CFC4" w14:textId="12C376FD" w:rsidR="00BA5C14" w:rsidRPr="00A9026F" w:rsidRDefault="00BA5C14" w:rsidP="00F42FBD">
            <w:pPr>
              <w:spacing w:line="360" w:lineRule="auto"/>
              <w:rPr>
                <w:bCs/>
                <w:color w:val="000000"/>
                <w:sz w:val="22"/>
              </w:rPr>
            </w:pPr>
            <w:r>
              <w:rPr>
                <w:bCs/>
                <w:color w:val="000000"/>
                <w:sz w:val="22"/>
              </w:rPr>
              <w:t>152 (63.3)</w:t>
            </w:r>
          </w:p>
        </w:tc>
        <w:tc>
          <w:tcPr>
            <w:tcW w:w="1170" w:type="dxa"/>
          </w:tcPr>
          <w:p w14:paraId="7F636346" w14:textId="29976D2F" w:rsidR="00BA5C14" w:rsidRPr="00A9026F" w:rsidRDefault="00452503" w:rsidP="00F42FBD">
            <w:pPr>
              <w:spacing w:line="360" w:lineRule="auto"/>
              <w:rPr>
                <w:bCs/>
                <w:color w:val="000000"/>
                <w:sz w:val="22"/>
              </w:rPr>
            </w:pPr>
            <w:r>
              <w:rPr>
                <w:bCs/>
                <w:color w:val="000000"/>
                <w:sz w:val="22"/>
              </w:rPr>
              <w:t>12 (33.3)</w:t>
            </w:r>
          </w:p>
        </w:tc>
        <w:tc>
          <w:tcPr>
            <w:tcW w:w="1350" w:type="dxa"/>
            <w:shd w:val="clear" w:color="auto" w:fill="auto"/>
            <w:noWrap/>
          </w:tcPr>
          <w:p w14:paraId="22E462CD" w14:textId="4D00AAF8" w:rsidR="00BA5C14" w:rsidRPr="00A9026F" w:rsidRDefault="00452503" w:rsidP="00F42FBD">
            <w:pPr>
              <w:spacing w:line="360" w:lineRule="auto"/>
              <w:rPr>
                <w:bCs/>
                <w:color w:val="000000"/>
                <w:sz w:val="22"/>
              </w:rPr>
            </w:pPr>
            <w:r>
              <w:rPr>
                <w:bCs/>
                <w:color w:val="000000"/>
                <w:sz w:val="22"/>
              </w:rPr>
              <w:t>9 (31.0)</w:t>
            </w:r>
          </w:p>
        </w:tc>
        <w:tc>
          <w:tcPr>
            <w:tcW w:w="1170" w:type="dxa"/>
            <w:shd w:val="clear" w:color="auto" w:fill="auto"/>
            <w:noWrap/>
          </w:tcPr>
          <w:p w14:paraId="2EAF1B61" w14:textId="1C930320" w:rsidR="00BA5C14" w:rsidRPr="00A9026F" w:rsidRDefault="00452503" w:rsidP="00F42FBD">
            <w:pPr>
              <w:spacing w:line="360" w:lineRule="auto"/>
              <w:rPr>
                <w:bCs/>
                <w:color w:val="000000"/>
                <w:sz w:val="22"/>
              </w:rPr>
            </w:pPr>
            <w:r>
              <w:rPr>
                <w:bCs/>
                <w:color w:val="000000"/>
                <w:sz w:val="22"/>
              </w:rPr>
              <w:t>21 (32.3)</w:t>
            </w:r>
          </w:p>
        </w:tc>
      </w:tr>
      <w:tr w:rsidR="007E3854" w:rsidRPr="00A9026F" w14:paraId="4DFCCBAA" w14:textId="77777777" w:rsidTr="007E3854">
        <w:trPr>
          <w:trHeight w:val="72"/>
        </w:trPr>
        <w:tc>
          <w:tcPr>
            <w:tcW w:w="2752" w:type="dxa"/>
            <w:shd w:val="clear" w:color="auto" w:fill="auto"/>
            <w:noWrap/>
          </w:tcPr>
          <w:p w14:paraId="169BEC66" w14:textId="6143400F"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Diabetes</w:t>
            </w:r>
          </w:p>
        </w:tc>
        <w:tc>
          <w:tcPr>
            <w:tcW w:w="1170" w:type="dxa"/>
            <w:shd w:val="clear" w:color="auto" w:fill="auto"/>
            <w:noWrap/>
          </w:tcPr>
          <w:p w14:paraId="76C8CB56" w14:textId="6FB87756" w:rsidR="00BA5C14" w:rsidRPr="00A9026F" w:rsidRDefault="00BA5C14" w:rsidP="00F42FBD">
            <w:pPr>
              <w:spacing w:line="360" w:lineRule="auto"/>
              <w:rPr>
                <w:bCs/>
                <w:color w:val="000000"/>
                <w:sz w:val="22"/>
              </w:rPr>
            </w:pPr>
            <w:r>
              <w:rPr>
                <w:bCs/>
                <w:color w:val="000000"/>
                <w:sz w:val="22"/>
              </w:rPr>
              <w:t>4 (11.4)</w:t>
            </w:r>
          </w:p>
        </w:tc>
        <w:tc>
          <w:tcPr>
            <w:tcW w:w="1350" w:type="dxa"/>
            <w:shd w:val="clear" w:color="auto" w:fill="auto"/>
            <w:noWrap/>
          </w:tcPr>
          <w:p w14:paraId="102D8A9F" w14:textId="12C71DA0" w:rsidR="00BA5C14" w:rsidRPr="00A9026F" w:rsidRDefault="00BA5C14" w:rsidP="00F42FBD">
            <w:pPr>
              <w:spacing w:line="360" w:lineRule="auto"/>
              <w:rPr>
                <w:bCs/>
                <w:color w:val="000000"/>
                <w:sz w:val="22"/>
              </w:rPr>
            </w:pPr>
            <w:r>
              <w:rPr>
                <w:bCs/>
                <w:color w:val="000000"/>
                <w:sz w:val="22"/>
              </w:rPr>
              <w:t>11 (5.4)</w:t>
            </w:r>
          </w:p>
        </w:tc>
        <w:tc>
          <w:tcPr>
            <w:tcW w:w="1170" w:type="dxa"/>
          </w:tcPr>
          <w:p w14:paraId="3E2BAA49" w14:textId="7BC82E81" w:rsidR="00BA5C14" w:rsidRPr="00A9026F" w:rsidRDefault="00BA5C14" w:rsidP="00F42FBD">
            <w:pPr>
              <w:spacing w:line="360" w:lineRule="auto"/>
              <w:rPr>
                <w:bCs/>
                <w:color w:val="000000"/>
                <w:sz w:val="22"/>
              </w:rPr>
            </w:pPr>
            <w:r>
              <w:rPr>
                <w:bCs/>
                <w:color w:val="000000"/>
                <w:sz w:val="22"/>
              </w:rPr>
              <w:t>15 (6.3)</w:t>
            </w:r>
          </w:p>
        </w:tc>
        <w:tc>
          <w:tcPr>
            <w:tcW w:w="1170" w:type="dxa"/>
          </w:tcPr>
          <w:p w14:paraId="2C309906" w14:textId="2FD29ABB" w:rsidR="00BA5C14" w:rsidRPr="00A9026F" w:rsidRDefault="00452503" w:rsidP="00F42FBD">
            <w:pPr>
              <w:spacing w:line="360" w:lineRule="auto"/>
              <w:rPr>
                <w:bCs/>
                <w:color w:val="000000"/>
                <w:sz w:val="22"/>
              </w:rPr>
            </w:pPr>
            <w:r>
              <w:rPr>
                <w:bCs/>
                <w:color w:val="000000"/>
                <w:sz w:val="22"/>
              </w:rPr>
              <w:t>5 (13.9)</w:t>
            </w:r>
          </w:p>
        </w:tc>
        <w:tc>
          <w:tcPr>
            <w:tcW w:w="1350" w:type="dxa"/>
            <w:shd w:val="clear" w:color="auto" w:fill="auto"/>
            <w:noWrap/>
          </w:tcPr>
          <w:p w14:paraId="5F6B413C" w14:textId="5C2C7007" w:rsidR="00BA5C14" w:rsidRPr="00A9026F" w:rsidRDefault="00452503" w:rsidP="00F42FBD">
            <w:pPr>
              <w:spacing w:line="360" w:lineRule="auto"/>
              <w:rPr>
                <w:bCs/>
                <w:color w:val="000000"/>
                <w:sz w:val="22"/>
              </w:rPr>
            </w:pPr>
            <w:r>
              <w:rPr>
                <w:bCs/>
                <w:color w:val="000000"/>
                <w:sz w:val="22"/>
              </w:rPr>
              <w:t>2 (6.9)</w:t>
            </w:r>
          </w:p>
        </w:tc>
        <w:tc>
          <w:tcPr>
            <w:tcW w:w="1170" w:type="dxa"/>
            <w:shd w:val="clear" w:color="auto" w:fill="auto"/>
            <w:noWrap/>
          </w:tcPr>
          <w:p w14:paraId="30B294A2" w14:textId="68BDC711" w:rsidR="00BA5C14" w:rsidRPr="00A9026F" w:rsidRDefault="00452503" w:rsidP="00F42FBD">
            <w:pPr>
              <w:spacing w:line="360" w:lineRule="auto"/>
              <w:rPr>
                <w:bCs/>
                <w:color w:val="000000"/>
                <w:sz w:val="22"/>
              </w:rPr>
            </w:pPr>
            <w:r>
              <w:rPr>
                <w:bCs/>
                <w:color w:val="000000"/>
                <w:sz w:val="22"/>
              </w:rPr>
              <w:t>7 (10.8)</w:t>
            </w:r>
          </w:p>
        </w:tc>
      </w:tr>
      <w:tr w:rsidR="007E3854" w:rsidRPr="00A9026F" w14:paraId="42FAF3C9" w14:textId="77777777" w:rsidTr="007E3854">
        <w:trPr>
          <w:trHeight w:val="72"/>
        </w:trPr>
        <w:tc>
          <w:tcPr>
            <w:tcW w:w="2752" w:type="dxa"/>
            <w:shd w:val="clear" w:color="auto" w:fill="auto"/>
            <w:noWrap/>
          </w:tcPr>
          <w:p w14:paraId="761E172A" w14:textId="63C81176" w:rsidR="00BA5C14" w:rsidRPr="00A9026F" w:rsidRDefault="00BA5C14" w:rsidP="00F42FBD">
            <w:pPr>
              <w:tabs>
                <w:tab w:val="left" w:pos="275"/>
              </w:tabs>
              <w:spacing w:line="360" w:lineRule="auto"/>
              <w:rPr>
                <w:bCs/>
                <w:color w:val="000000"/>
                <w:sz w:val="22"/>
              </w:rPr>
            </w:pPr>
            <w:r w:rsidRPr="00A9026F">
              <w:rPr>
                <w:bCs/>
                <w:color w:val="000000"/>
                <w:sz w:val="22"/>
              </w:rPr>
              <w:tab/>
            </w:r>
            <w:r>
              <w:rPr>
                <w:bCs/>
                <w:color w:val="000000"/>
                <w:sz w:val="22"/>
              </w:rPr>
              <w:t>Pulmonary disease</w:t>
            </w:r>
          </w:p>
        </w:tc>
        <w:tc>
          <w:tcPr>
            <w:tcW w:w="1170" w:type="dxa"/>
            <w:shd w:val="clear" w:color="auto" w:fill="auto"/>
            <w:noWrap/>
          </w:tcPr>
          <w:p w14:paraId="7B6BA15D" w14:textId="2F2E8B95" w:rsidR="00BA5C14" w:rsidRPr="00A9026F" w:rsidRDefault="00BA5C14" w:rsidP="00F42FBD">
            <w:pPr>
              <w:spacing w:line="360" w:lineRule="auto"/>
              <w:rPr>
                <w:bCs/>
                <w:color w:val="000000"/>
                <w:sz w:val="22"/>
              </w:rPr>
            </w:pPr>
            <w:r>
              <w:rPr>
                <w:bCs/>
                <w:color w:val="000000"/>
                <w:sz w:val="22"/>
              </w:rPr>
              <w:t>13 (37.1)</w:t>
            </w:r>
          </w:p>
        </w:tc>
        <w:tc>
          <w:tcPr>
            <w:tcW w:w="1350" w:type="dxa"/>
            <w:shd w:val="clear" w:color="auto" w:fill="auto"/>
            <w:noWrap/>
          </w:tcPr>
          <w:p w14:paraId="6B1A5768" w14:textId="27AD943E" w:rsidR="00BA5C14" w:rsidRPr="00A9026F" w:rsidRDefault="00BA5C14" w:rsidP="00F42FBD">
            <w:pPr>
              <w:spacing w:line="360" w:lineRule="auto"/>
              <w:rPr>
                <w:bCs/>
                <w:color w:val="000000"/>
                <w:sz w:val="22"/>
              </w:rPr>
            </w:pPr>
            <w:r>
              <w:rPr>
                <w:bCs/>
                <w:color w:val="000000"/>
                <w:sz w:val="22"/>
              </w:rPr>
              <w:t>41 (20.0)</w:t>
            </w:r>
          </w:p>
        </w:tc>
        <w:tc>
          <w:tcPr>
            <w:tcW w:w="1170" w:type="dxa"/>
          </w:tcPr>
          <w:p w14:paraId="6C981CE6" w14:textId="491CE271" w:rsidR="00BA5C14" w:rsidRPr="00A9026F" w:rsidRDefault="00BA5C14" w:rsidP="00F42FBD">
            <w:pPr>
              <w:spacing w:line="360" w:lineRule="auto"/>
              <w:rPr>
                <w:bCs/>
                <w:color w:val="000000"/>
                <w:sz w:val="22"/>
              </w:rPr>
            </w:pPr>
            <w:r>
              <w:rPr>
                <w:bCs/>
                <w:color w:val="000000"/>
                <w:sz w:val="22"/>
              </w:rPr>
              <w:t>54 (22.5)</w:t>
            </w:r>
          </w:p>
        </w:tc>
        <w:tc>
          <w:tcPr>
            <w:tcW w:w="1170" w:type="dxa"/>
          </w:tcPr>
          <w:p w14:paraId="2299A7F5" w14:textId="4A22C39A" w:rsidR="00BA5C14" w:rsidRPr="00A9026F" w:rsidRDefault="007236DE" w:rsidP="00F42FBD">
            <w:pPr>
              <w:spacing w:line="360" w:lineRule="auto"/>
              <w:rPr>
                <w:bCs/>
                <w:color w:val="000000"/>
                <w:sz w:val="22"/>
              </w:rPr>
            </w:pPr>
            <w:r>
              <w:rPr>
                <w:bCs/>
                <w:color w:val="000000"/>
                <w:sz w:val="22"/>
              </w:rPr>
              <w:t>2 (5.6)</w:t>
            </w:r>
          </w:p>
        </w:tc>
        <w:tc>
          <w:tcPr>
            <w:tcW w:w="1350" w:type="dxa"/>
            <w:shd w:val="clear" w:color="auto" w:fill="auto"/>
            <w:noWrap/>
          </w:tcPr>
          <w:p w14:paraId="7BCD13FA" w14:textId="42DB1E9D" w:rsidR="00BA5C14" w:rsidRPr="00A9026F" w:rsidRDefault="007236DE" w:rsidP="00F42FBD">
            <w:pPr>
              <w:spacing w:line="360" w:lineRule="auto"/>
              <w:rPr>
                <w:bCs/>
                <w:color w:val="000000"/>
                <w:sz w:val="22"/>
              </w:rPr>
            </w:pPr>
            <w:r>
              <w:rPr>
                <w:bCs/>
                <w:color w:val="000000"/>
                <w:sz w:val="22"/>
              </w:rPr>
              <w:t>2 (6.9)</w:t>
            </w:r>
          </w:p>
        </w:tc>
        <w:tc>
          <w:tcPr>
            <w:tcW w:w="1170" w:type="dxa"/>
            <w:shd w:val="clear" w:color="auto" w:fill="auto"/>
            <w:noWrap/>
          </w:tcPr>
          <w:p w14:paraId="058463F2" w14:textId="4901F606" w:rsidR="00BA5C14" w:rsidRPr="00A9026F" w:rsidRDefault="007236DE" w:rsidP="00F42FBD">
            <w:pPr>
              <w:spacing w:line="360" w:lineRule="auto"/>
              <w:rPr>
                <w:bCs/>
                <w:color w:val="000000"/>
                <w:sz w:val="22"/>
              </w:rPr>
            </w:pPr>
            <w:r>
              <w:rPr>
                <w:bCs/>
                <w:color w:val="000000"/>
                <w:sz w:val="22"/>
              </w:rPr>
              <w:t>4 (6.2)</w:t>
            </w:r>
          </w:p>
        </w:tc>
      </w:tr>
      <w:tr w:rsidR="007E3854" w:rsidRPr="00A9026F" w14:paraId="14228D18" w14:textId="77777777" w:rsidTr="007E3854">
        <w:trPr>
          <w:trHeight w:val="72"/>
        </w:trPr>
        <w:tc>
          <w:tcPr>
            <w:tcW w:w="2752" w:type="dxa"/>
            <w:shd w:val="clear" w:color="auto" w:fill="auto"/>
            <w:noWrap/>
          </w:tcPr>
          <w:p w14:paraId="30673AB1" w14:textId="70FF2518"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Tobacco smoking</w:t>
            </w:r>
          </w:p>
        </w:tc>
        <w:tc>
          <w:tcPr>
            <w:tcW w:w="1170" w:type="dxa"/>
            <w:shd w:val="clear" w:color="auto" w:fill="auto"/>
            <w:noWrap/>
          </w:tcPr>
          <w:p w14:paraId="03435585" w14:textId="49AD1196" w:rsidR="0006754C" w:rsidRPr="00A9026F" w:rsidRDefault="0006754C" w:rsidP="00F42FBD">
            <w:pPr>
              <w:spacing w:line="360" w:lineRule="auto"/>
              <w:rPr>
                <w:bCs/>
                <w:color w:val="000000"/>
                <w:sz w:val="22"/>
              </w:rPr>
            </w:pPr>
            <w:r>
              <w:rPr>
                <w:bCs/>
                <w:color w:val="000000"/>
                <w:sz w:val="22"/>
              </w:rPr>
              <w:t>5 (14.3)</w:t>
            </w:r>
          </w:p>
        </w:tc>
        <w:tc>
          <w:tcPr>
            <w:tcW w:w="1350" w:type="dxa"/>
            <w:shd w:val="clear" w:color="auto" w:fill="auto"/>
            <w:noWrap/>
          </w:tcPr>
          <w:p w14:paraId="49349227" w14:textId="7427F3AC" w:rsidR="0006754C" w:rsidRPr="00A9026F" w:rsidRDefault="0006754C" w:rsidP="00F42FBD">
            <w:pPr>
              <w:spacing w:line="360" w:lineRule="auto"/>
              <w:rPr>
                <w:bCs/>
                <w:color w:val="000000"/>
                <w:sz w:val="22"/>
              </w:rPr>
            </w:pPr>
            <w:r>
              <w:rPr>
                <w:bCs/>
                <w:color w:val="000000"/>
                <w:sz w:val="22"/>
              </w:rPr>
              <w:t>34 (16.6)</w:t>
            </w:r>
          </w:p>
        </w:tc>
        <w:tc>
          <w:tcPr>
            <w:tcW w:w="1170" w:type="dxa"/>
          </w:tcPr>
          <w:p w14:paraId="00D7BCEA" w14:textId="0F8871C0" w:rsidR="0006754C" w:rsidRPr="00A9026F" w:rsidRDefault="0006754C" w:rsidP="00F42FBD">
            <w:pPr>
              <w:spacing w:line="360" w:lineRule="auto"/>
              <w:rPr>
                <w:bCs/>
                <w:color w:val="000000"/>
                <w:sz w:val="22"/>
              </w:rPr>
            </w:pPr>
            <w:r>
              <w:rPr>
                <w:bCs/>
                <w:color w:val="000000"/>
                <w:sz w:val="22"/>
              </w:rPr>
              <w:t>9 (16.3)</w:t>
            </w:r>
          </w:p>
        </w:tc>
        <w:tc>
          <w:tcPr>
            <w:tcW w:w="1170" w:type="dxa"/>
          </w:tcPr>
          <w:p w14:paraId="6F76FFD9" w14:textId="7A2C67D2" w:rsidR="0006754C" w:rsidRPr="00A9026F" w:rsidRDefault="0006754C" w:rsidP="00F42FBD">
            <w:pPr>
              <w:spacing w:line="360" w:lineRule="auto"/>
              <w:rPr>
                <w:bCs/>
                <w:color w:val="000000"/>
                <w:sz w:val="22"/>
              </w:rPr>
            </w:pPr>
            <w:r w:rsidRPr="007C175F">
              <w:rPr>
                <w:bCs/>
                <w:color w:val="000000"/>
                <w:sz w:val="22"/>
              </w:rPr>
              <w:t>−</w:t>
            </w:r>
          </w:p>
        </w:tc>
        <w:tc>
          <w:tcPr>
            <w:tcW w:w="1350" w:type="dxa"/>
            <w:shd w:val="clear" w:color="auto" w:fill="auto"/>
            <w:noWrap/>
          </w:tcPr>
          <w:p w14:paraId="4342136E" w14:textId="1497CD9E" w:rsidR="0006754C" w:rsidRPr="00A9026F" w:rsidRDefault="0006754C" w:rsidP="00F42FBD">
            <w:pPr>
              <w:spacing w:line="360" w:lineRule="auto"/>
              <w:rPr>
                <w:bCs/>
                <w:color w:val="000000"/>
                <w:sz w:val="22"/>
              </w:rPr>
            </w:pPr>
            <w:r w:rsidRPr="007C175F">
              <w:rPr>
                <w:bCs/>
                <w:color w:val="000000"/>
                <w:sz w:val="22"/>
              </w:rPr>
              <w:t>−</w:t>
            </w:r>
          </w:p>
        </w:tc>
        <w:tc>
          <w:tcPr>
            <w:tcW w:w="1170" w:type="dxa"/>
            <w:shd w:val="clear" w:color="auto" w:fill="auto"/>
            <w:noWrap/>
          </w:tcPr>
          <w:p w14:paraId="58F0420B" w14:textId="1EB7D049" w:rsidR="0006754C" w:rsidRPr="00A9026F" w:rsidRDefault="0006754C" w:rsidP="00F42FBD">
            <w:pPr>
              <w:spacing w:line="360" w:lineRule="auto"/>
              <w:rPr>
                <w:bCs/>
                <w:color w:val="000000"/>
                <w:sz w:val="22"/>
              </w:rPr>
            </w:pPr>
            <w:r w:rsidRPr="007C175F">
              <w:rPr>
                <w:bCs/>
                <w:color w:val="000000"/>
                <w:sz w:val="22"/>
              </w:rPr>
              <w:t>−</w:t>
            </w:r>
          </w:p>
        </w:tc>
      </w:tr>
      <w:tr w:rsidR="007E3854" w:rsidRPr="00A9026F" w14:paraId="692EA60D" w14:textId="77777777" w:rsidTr="007E3854">
        <w:trPr>
          <w:trHeight w:val="72"/>
        </w:trPr>
        <w:tc>
          <w:tcPr>
            <w:tcW w:w="2752" w:type="dxa"/>
            <w:shd w:val="clear" w:color="auto" w:fill="auto"/>
            <w:noWrap/>
          </w:tcPr>
          <w:p w14:paraId="0C8B972E" w14:textId="53DA893C"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CV disease</w:t>
            </w:r>
          </w:p>
        </w:tc>
        <w:tc>
          <w:tcPr>
            <w:tcW w:w="1170" w:type="dxa"/>
            <w:shd w:val="clear" w:color="auto" w:fill="auto"/>
            <w:noWrap/>
          </w:tcPr>
          <w:p w14:paraId="623381CC" w14:textId="5DB2D05A" w:rsidR="0006754C" w:rsidRPr="00A9026F" w:rsidRDefault="0006754C" w:rsidP="00F42FBD">
            <w:pPr>
              <w:spacing w:line="360" w:lineRule="auto"/>
              <w:rPr>
                <w:bCs/>
                <w:color w:val="000000"/>
                <w:sz w:val="22"/>
              </w:rPr>
            </w:pPr>
            <w:r>
              <w:rPr>
                <w:bCs/>
                <w:color w:val="000000"/>
                <w:sz w:val="22"/>
              </w:rPr>
              <w:t>1 (2.9)</w:t>
            </w:r>
          </w:p>
        </w:tc>
        <w:tc>
          <w:tcPr>
            <w:tcW w:w="1350" w:type="dxa"/>
            <w:shd w:val="clear" w:color="auto" w:fill="auto"/>
            <w:noWrap/>
          </w:tcPr>
          <w:p w14:paraId="6D0750E3" w14:textId="2FF00016" w:rsidR="0006754C" w:rsidRPr="00A9026F" w:rsidRDefault="0006754C" w:rsidP="00F42FBD">
            <w:pPr>
              <w:spacing w:line="360" w:lineRule="auto"/>
              <w:rPr>
                <w:bCs/>
                <w:color w:val="000000"/>
                <w:sz w:val="22"/>
              </w:rPr>
            </w:pPr>
            <w:r>
              <w:rPr>
                <w:bCs/>
                <w:color w:val="000000"/>
                <w:sz w:val="22"/>
              </w:rPr>
              <w:t>5 (2.4)</w:t>
            </w:r>
          </w:p>
        </w:tc>
        <w:tc>
          <w:tcPr>
            <w:tcW w:w="1170" w:type="dxa"/>
          </w:tcPr>
          <w:p w14:paraId="4CB7163D" w14:textId="00808674" w:rsidR="0006754C" w:rsidRPr="00A9026F" w:rsidRDefault="0006754C" w:rsidP="00F42FBD">
            <w:pPr>
              <w:spacing w:line="360" w:lineRule="auto"/>
              <w:rPr>
                <w:bCs/>
                <w:color w:val="000000"/>
                <w:sz w:val="22"/>
              </w:rPr>
            </w:pPr>
            <w:r>
              <w:rPr>
                <w:bCs/>
                <w:color w:val="000000"/>
                <w:sz w:val="22"/>
              </w:rPr>
              <w:t>6 (2.5)</w:t>
            </w:r>
          </w:p>
        </w:tc>
        <w:tc>
          <w:tcPr>
            <w:tcW w:w="1170" w:type="dxa"/>
          </w:tcPr>
          <w:p w14:paraId="26DD1314" w14:textId="14A8E27B" w:rsidR="0006754C" w:rsidRPr="00A9026F" w:rsidRDefault="0006754C" w:rsidP="00F42FBD">
            <w:pPr>
              <w:spacing w:line="360" w:lineRule="auto"/>
              <w:rPr>
                <w:bCs/>
                <w:color w:val="000000"/>
                <w:sz w:val="22"/>
              </w:rPr>
            </w:pPr>
            <w:r>
              <w:rPr>
                <w:bCs/>
                <w:color w:val="000000"/>
                <w:sz w:val="22"/>
              </w:rPr>
              <w:t>2 (5.6)</w:t>
            </w:r>
          </w:p>
        </w:tc>
        <w:tc>
          <w:tcPr>
            <w:tcW w:w="1350" w:type="dxa"/>
            <w:shd w:val="clear" w:color="auto" w:fill="auto"/>
            <w:noWrap/>
          </w:tcPr>
          <w:p w14:paraId="0A31B5D8" w14:textId="52D87F01" w:rsidR="0006754C" w:rsidRPr="00A9026F" w:rsidRDefault="0006754C" w:rsidP="00F42FBD">
            <w:pPr>
              <w:spacing w:line="360" w:lineRule="auto"/>
              <w:rPr>
                <w:bCs/>
                <w:color w:val="000000"/>
                <w:sz w:val="22"/>
              </w:rPr>
            </w:pPr>
            <w:r>
              <w:rPr>
                <w:bCs/>
                <w:color w:val="000000"/>
                <w:sz w:val="22"/>
              </w:rPr>
              <w:t>0 (0.0)</w:t>
            </w:r>
          </w:p>
        </w:tc>
        <w:tc>
          <w:tcPr>
            <w:tcW w:w="1170" w:type="dxa"/>
            <w:shd w:val="clear" w:color="auto" w:fill="auto"/>
            <w:noWrap/>
          </w:tcPr>
          <w:p w14:paraId="3019CF33" w14:textId="58843840" w:rsidR="0006754C" w:rsidRPr="00A9026F" w:rsidRDefault="0006754C" w:rsidP="00F42FBD">
            <w:pPr>
              <w:spacing w:line="360" w:lineRule="auto"/>
              <w:rPr>
                <w:bCs/>
                <w:color w:val="000000"/>
                <w:sz w:val="22"/>
              </w:rPr>
            </w:pPr>
            <w:r>
              <w:rPr>
                <w:bCs/>
                <w:color w:val="000000"/>
                <w:sz w:val="22"/>
              </w:rPr>
              <w:t>2 (3.1)</w:t>
            </w:r>
          </w:p>
        </w:tc>
      </w:tr>
      <w:tr w:rsidR="00023080" w:rsidRPr="00A9026F" w14:paraId="26F21512" w14:textId="77777777" w:rsidTr="0059345C">
        <w:trPr>
          <w:trHeight w:val="72"/>
        </w:trPr>
        <w:tc>
          <w:tcPr>
            <w:tcW w:w="10132" w:type="dxa"/>
            <w:gridSpan w:val="7"/>
            <w:shd w:val="clear" w:color="auto" w:fill="auto"/>
            <w:noWrap/>
          </w:tcPr>
          <w:p w14:paraId="5A41BCBA" w14:textId="69FDA7BE" w:rsidR="00023080" w:rsidRPr="00A9026F" w:rsidRDefault="00023080" w:rsidP="00F42FBD">
            <w:pPr>
              <w:spacing w:line="360" w:lineRule="auto"/>
              <w:rPr>
                <w:bCs/>
                <w:color w:val="000000"/>
                <w:sz w:val="22"/>
              </w:rPr>
            </w:pPr>
            <w:r>
              <w:rPr>
                <w:bCs/>
                <w:color w:val="000000"/>
                <w:sz w:val="22"/>
              </w:rPr>
              <w:t>Hurley stage, n (%)</w:t>
            </w:r>
          </w:p>
        </w:tc>
      </w:tr>
      <w:tr w:rsidR="007E3854" w:rsidRPr="00A9026F" w14:paraId="0B6FC91A" w14:textId="77777777" w:rsidTr="007E3854">
        <w:trPr>
          <w:trHeight w:val="72"/>
        </w:trPr>
        <w:tc>
          <w:tcPr>
            <w:tcW w:w="2752" w:type="dxa"/>
            <w:shd w:val="clear" w:color="auto" w:fill="auto"/>
            <w:noWrap/>
          </w:tcPr>
          <w:p w14:paraId="301F23CA" w14:textId="1322156F"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Hurley 1</w:t>
            </w:r>
          </w:p>
        </w:tc>
        <w:tc>
          <w:tcPr>
            <w:tcW w:w="1170" w:type="dxa"/>
            <w:shd w:val="clear" w:color="auto" w:fill="auto"/>
            <w:noWrap/>
          </w:tcPr>
          <w:p w14:paraId="35ACC477" w14:textId="3864A745" w:rsidR="0006754C" w:rsidRPr="00A9026F" w:rsidRDefault="0006754C" w:rsidP="00F42FBD">
            <w:pPr>
              <w:spacing w:line="360" w:lineRule="auto"/>
              <w:rPr>
                <w:bCs/>
                <w:color w:val="000000"/>
                <w:sz w:val="22"/>
              </w:rPr>
            </w:pPr>
            <w:r w:rsidRPr="007C175F">
              <w:rPr>
                <w:bCs/>
                <w:color w:val="000000"/>
                <w:sz w:val="22"/>
              </w:rPr>
              <w:t>−</w:t>
            </w:r>
          </w:p>
        </w:tc>
        <w:tc>
          <w:tcPr>
            <w:tcW w:w="1350" w:type="dxa"/>
            <w:shd w:val="clear" w:color="auto" w:fill="auto"/>
            <w:noWrap/>
          </w:tcPr>
          <w:p w14:paraId="3FF9D908" w14:textId="100BC79E"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6F07CC8A" w14:textId="2EF5A355"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193EB2A9" w14:textId="254026CF" w:rsidR="0006754C" w:rsidRPr="00A9026F" w:rsidRDefault="0006754C" w:rsidP="00F42FBD">
            <w:pPr>
              <w:spacing w:line="360" w:lineRule="auto"/>
              <w:rPr>
                <w:bCs/>
                <w:color w:val="000000"/>
                <w:sz w:val="22"/>
              </w:rPr>
            </w:pPr>
            <w:r>
              <w:rPr>
                <w:bCs/>
                <w:color w:val="000000"/>
                <w:sz w:val="22"/>
              </w:rPr>
              <w:t>3 (8.6)</w:t>
            </w:r>
          </w:p>
        </w:tc>
        <w:tc>
          <w:tcPr>
            <w:tcW w:w="1350" w:type="dxa"/>
            <w:shd w:val="clear" w:color="auto" w:fill="auto"/>
            <w:noWrap/>
          </w:tcPr>
          <w:p w14:paraId="1558BFDC" w14:textId="291D8C5F" w:rsidR="0006754C" w:rsidRPr="00A9026F" w:rsidRDefault="0006754C" w:rsidP="00F42FBD">
            <w:pPr>
              <w:spacing w:line="360" w:lineRule="auto"/>
              <w:rPr>
                <w:bCs/>
                <w:color w:val="000000"/>
                <w:sz w:val="22"/>
              </w:rPr>
            </w:pPr>
            <w:r>
              <w:rPr>
                <w:bCs/>
                <w:color w:val="000000"/>
                <w:sz w:val="22"/>
              </w:rPr>
              <w:t>5 (17.2)</w:t>
            </w:r>
          </w:p>
        </w:tc>
        <w:tc>
          <w:tcPr>
            <w:tcW w:w="1170" w:type="dxa"/>
            <w:shd w:val="clear" w:color="auto" w:fill="auto"/>
            <w:noWrap/>
          </w:tcPr>
          <w:p w14:paraId="08C512D2" w14:textId="6D9EE2B0" w:rsidR="0006754C" w:rsidRPr="00A9026F" w:rsidRDefault="0006754C" w:rsidP="00F42FBD">
            <w:pPr>
              <w:spacing w:line="360" w:lineRule="auto"/>
              <w:rPr>
                <w:bCs/>
                <w:color w:val="000000"/>
                <w:sz w:val="22"/>
              </w:rPr>
            </w:pPr>
            <w:r>
              <w:rPr>
                <w:bCs/>
                <w:color w:val="000000"/>
                <w:sz w:val="22"/>
              </w:rPr>
              <w:t>8 (12.5)</w:t>
            </w:r>
          </w:p>
        </w:tc>
      </w:tr>
      <w:tr w:rsidR="007E3854" w:rsidRPr="00A9026F" w14:paraId="5B6D0C87" w14:textId="77777777" w:rsidTr="007E3854">
        <w:trPr>
          <w:trHeight w:val="72"/>
        </w:trPr>
        <w:tc>
          <w:tcPr>
            <w:tcW w:w="2752" w:type="dxa"/>
            <w:shd w:val="clear" w:color="auto" w:fill="auto"/>
            <w:noWrap/>
          </w:tcPr>
          <w:p w14:paraId="5A829082" w14:textId="152C88F6"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Hurley 2</w:t>
            </w:r>
          </w:p>
        </w:tc>
        <w:tc>
          <w:tcPr>
            <w:tcW w:w="1170" w:type="dxa"/>
            <w:shd w:val="clear" w:color="auto" w:fill="auto"/>
            <w:noWrap/>
          </w:tcPr>
          <w:p w14:paraId="5DEEAF8E" w14:textId="2087D0CB" w:rsidR="0006754C" w:rsidRPr="00A9026F" w:rsidRDefault="0006754C" w:rsidP="00F42FBD">
            <w:pPr>
              <w:spacing w:line="360" w:lineRule="auto"/>
              <w:rPr>
                <w:bCs/>
                <w:color w:val="000000"/>
                <w:sz w:val="22"/>
              </w:rPr>
            </w:pPr>
            <w:r w:rsidRPr="007C175F">
              <w:rPr>
                <w:bCs/>
                <w:color w:val="000000"/>
                <w:sz w:val="22"/>
              </w:rPr>
              <w:t>−</w:t>
            </w:r>
          </w:p>
        </w:tc>
        <w:tc>
          <w:tcPr>
            <w:tcW w:w="1350" w:type="dxa"/>
            <w:shd w:val="clear" w:color="auto" w:fill="auto"/>
            <w:noWrap/>
          </w:tcPr>
          <w:p w14:paraId="28D1BCBE" w14:textId="1561B837"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11429CEB" w14:textId="60E4DFDC"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438A9952" w14:textId="3BBBF988" w:rsidR="0006754C" w:rsidRPr="00A9026F" w:rsidRDefault="0006754C" w:rsidP="00F42FBD">
            <w:pPr>
              <w:spacing w:line="360" w:lineRule="auto"/>
              <w:rPr>
                <w:bCs/>
                <w:color w:val="000000"/>
                <w:sz w:val="22"/>
              </w:rPr>
            </w:pPr>
            <w:r>
              <w:rPr>
                <w:bCs/>
                <w:color w:val="000000"/>
                <w:sz w:val="22"/>
              </w:rPr>
              <w:t>14 (40.0)</w:t>
            </w:r>
          </w:p>
        </w:tc>
        <w:tc>
          <w:tcPr>
            <w:tcW w:w="1350" w:type="dxa"/>
            <w:shd w:val="clear" w:color="auto" w:fill="auto"/>
            <w:noWrap/>
          </w:tcPr>
          <w:p w14:paraId="3728B03D" w14:textId="036B7366" w:rsidR="0006754C" w:rsidRPr="00A9026F" w:rsidRDefault="0006754C" w:rsidP="00F42FBD">
            <w:pPr>
              <w:spacing w:line="360" w:lineRule="auto"/>
              <w:rPr>
                <w:bCs/>
                <w:color w:val="000000"/>
                <w:sz w:val="22"/>
              </w:rPr>
            </w:pPr>
            <w:r>
              <w:rPr>
                <w:bCs/>
                <w:color w:val="000000"/>
                <w:sz w:val="22"/>
              </w:rPr>
              <w:t>11 (37.9)</w:t>
            </w:r>
          </w:p>
        </w:tc>
        <w:tc>
          <w:tcPr>
            <w:tcW w:w="1170" w:type="dxa"/>
            <w:shd w:val="clear" w:color="auto" w:fill="auto"/>
            <w:noWrap/>
          </w:tcPr>
          <w:p w14:paraId="2EFDD8A5" w14:textId="3560AD8C" w:rsidR="0006754C" w:rsidRPr="00A9026F" w:rsidRDefault="0006754C" w:rsidP="00F42FBD">
            <w:pPr>
              <w:spacing w:line="360" w:lineRule="auto"/>
              <w:rPr>
                <w:bCs/>
                <w:color w:val="000000"/>
                <w:sz w:val="22"/>
              </w:rPr>
            </w:pPr>
            <w:r>
              <w:rPr>
                <w:bCs/>
                <w:color w:val="000000"/>
                <w:sz w:val="22"/>
              </w:rPr>
              <w:t>25 (39.1)</w:t>
            </w:r>
          </w:p>
        </w:tc>
      </w:tr>
      <w:tr w:rsidR="007E3854" w:rsidRPr="00A9026F" w14:paraId="2D2B7A43" w14:textId="77777777" w:rsidTr="001F7AA8">
        <w:trPr>
          <w:trHeight w:val="79"/>
        </w:trPr>
        <w:tc>
          <w:tcPr>
            <w:tcW w:w="2752" w:type="dxa"/>
            <w:shd w:val="clear" w:color="auto" w:fill="auto"/>
            <w:noWrap/>
          </w:tcPr>
          <w:p w14:paraId="0186880A" w14:textId="3F4DB32C"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Hurley 3</w:t>
            </w:r>
          </w:p>
        </w:tc>
        <w:tc>
          <w:tcPr>
            <w:tcW w:w="1170" w:type="dxa"/>
            <w:shd w:val="clear" w:color="auto" w:fill="auto"/>
            <w:noWrap/>
          </w:tcPr>
          <w:p w14:paraId="211D97D0" w14:textId="476CD882" w:rsidR="0006754C" w:rsidRPr="00A9026F" w:rsidRDefault="0006754C" w:rsidP="00F42FBD">
            <w:pPr>
              <w:spacing w:line="360" w:lineRule="auto"/>
              <w:rPr>
                <w:bCs/>
                <w:color w:val="000000"/>
                <w:sz w:val="22"/>
              </w:rPr>
            </w:pPr>
            <w:r w:rsidRPr="007C175F">
              <w:rPr>
                <w:bCs/>
                <w:color w:val="000000"/>
                <w:sz w:val="22"/>
              </w:rPr>
              <w:t>−</w:t>
            </w:r>
          </w:p>
        </w:tc>
        <w:tc>
          <w:tcPr>
            <w:tcW w:w="1350" w:type="dxa"/>
            <w:shd w:val="clear" w:color="auto" w:fill="auto"/>
            <w:noWrap/>
          </w:tcPr>
          <w:p w14:paraId="0755D88A" w14:textId="35BAC80C"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0360DA2D" w14:textId="59993F83"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359E9660" w14:textId="2BF39D88" w:rsidR="0006754C" w:rsidRPr="00A9026F" w:rsidRDefault="0006754C" w:rsidP="00F42FBD">
            <w:pPr>
              <w:spacing w:line="360" w:lineRule="auto"/>
              <w:rPr>
                <w:bCs/>
                <w:color w:val="000000"/>
                <w:sz w:val="22"/>
              </w:rPr>
            </w:pPr>
            <w:r>
              <w:rPr>
                <w:bCs/>
                <w:color w:val="000000"/>
                <w:sz w:val="22"/>
              </w:rPr>
              <w:t>18 (51.4)</w:t>
            </w:r>
          </w:p>
        </w:tc>
        <w:tc>
          <w:tcPr>
            <w:tcW w:w="1350" w:type="dxa"/>
            <w:shd w:val="clear" w:color="auto" w:fill="auto"/>
            <w:noWrap/>
          </w:tcPr>
          <w:p w14:paraId="1FFBAE8A" w14:textId="1926CB8C" w:rsidR="0006754C" w:rsidRPr="00A9026F" w:rsidRDefault="0006754C" w:rsidP="00F42FBD">
            <w:pPr>
              <w:spacing w:line="360" w:lineRule="auto"/>
              <w:rPr>
                <w:bCs/>
                <w:color w:val="000000"/>
                <w:sz w:val="22"/>
              </w:rPr>
            </w:pPr>
            <w:r>
              <w:rPr>
                <w:bCs/>
                <w:color w:val="000000"/>
                <w:sz w:val="22"/>
              </w:rPr>
              <w:t>12 (41.4%)</w:t>
            </w:r>
          </w:p>
        </w:tc>
        <w:tc>
          <w:tcPr>
            <w:tcW w:w="1170" w:type="dxa"/>
            <w:shd w:val="clear" w:color="auto" w:fill="auto"/>
            <w:noWrap/>
          </w:tcPr>
          <w:p w14:paraId="1563B535" w14:textId="58EEB737" w:rsidR="0006754C" w:rsidRPr="00A9026F" w:rsidRDefault="0006754C" w:rsidP="00F42FBD">
            <w:pPr>
              <w:spacing w:line="360" w:lineRule="auto"/>
              <w:rPr>
                <w:bCs/>
                <w:color w:val="000000"/>
                <w:sz w:val="22"/>
              </w:rPr>
            </w:pPr>
            <w:r>
              <w:rPr>
                <w:bCs/>
                <w:color w:val="000000"/>
                <w:sz w:val="22"/>
              </w:rPr>
              <w:t>30 (46.9)</w:t>
            </w:r>
          </w:p>
        </w:tc>
      </w:tr>
      <w:tr w:rsidR="007E3854" w:rsidRPr="00A9026F" w14:paraId="59A395E9" w14:textId="77777777" w:rsidTr="001F7AA8">
        <w:trPr>
          <w:trHeight w:val="79"/>
        </w:trPr>
        <w:tc>
          <w:tcPr>
            <w:tcW w:w="2752" w:type="dxa"/>
            <w:shd w:val="clear" w:color="auto" w:fill="auto"/>
            <w:noWrap/>
          </w:tcPr>
          <w:p w14:paraId="77FE252B" w14:textId="3A407F49" w:rsidR="0006754C" w:rsidRPr="00A9026F" w:rsidRDefault="0006754C" w:rsidP="00F42FBD">
            <w:pPr>
              <w:tabs>
                <w:tab w:val="left" w:pos="275"/>
              </w:tabs>
              <w:spacing w:line="360" w:lineRule="auto"/>
              <w:rPr>
                <w:bCs/>
                <w:color w:val="000000"/>
                <w:sz w:val="22"/>
              </w:rPr>
            </w:pPr>
            <w:r w:rsidRPr="00A9026F">
              <w:rPr>
                <w:bCs/>
                <w:color w:val="000000"/>
                <w:sz w:val="22"/>
              </w:rPr>
              <w:tab/>
            </w:r>
            <w:r>
              <w:rPr>
                <w:bCs/>
                <w:color w:val="000000"/>
                <w:sz w:val="22"/>
              </w:rPr>
              <w:t>Unknown</w:t>
            </w:r>
          </w:p>
        </w:tc>
        <w:tc>
          <w:tcPr>
            <w:tcW w:w="1170" w:type="dxa"/>
            <w:shd w:val="clear" w:color="auto" w:fill="auto"/>
            <w:noWrap/>
          </w:tcPr>
          <w:p w14:paraId="6BE4D1BD" w14:textId="6726658C" w:rsidR="0006754C" w:rsidRPr="00A9026F" w:rsidRDefault="0006754C" w:rsidP="00F42FBD">
            <w:pPr>
              <w:spacing w:line="360" w:lineRule="auto"/>
              <w:rPr>
                <w:bCs/>
                <w:color w:val="000000"/>
                <w:sz w:val="22"/>
              </w:rPr>
            </w:pPr>
            <w:r w:rsidRPr="007C175F">
              <w:rPr>
                <w:bCs/>
                <w:color w:val="000000"/>
                <w:sz w:val="22"/>
              </w:rPr>
              <w:t>−</w:t>
            </w:r>
          </w:p>
        </w:tc>
        <w:tc>
          <w:tcPr>
            <w:tcW w:w="1350" w:type="dxa"/>
            <w:shd w:val="clear" w:color="auto" w:fill="auto"/>
            <w:noWrap/>
          </w:tcPr>
          <w:p w14:paraId="444F27E3" w14:textId="47128759"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2BB9FC6B" w14:textId="2CDF32DB" w:rsidR="0006754C" w:rsidRPr="00A9026F" w:rsidRDefault="0006754C" w:rsidP="00F42FBD">
            <w:pPr>
              <w:spacing w:line="360" w:lineRule="auto"/>
              <w:rPr>
                <w:bCs/>
                <w:color w:val="000000"/>
                <w:sz w:val="22"/>
              </w:rPr>
            </w:pPr>
            <w:r w:rsidRPr="007C175F">
              <w:rPr>
                <w:bCs/>
                <w:color w:val="000000"/>
                <w:sz w:val="22"/>
              </w:rPr>
              <w:t>−</w:t>
            </w:r>
          </w:p>
        </w:tc>
        <w:tc>
          <w:tcPr>
            <w:tcW w:w="1170" w:type="dxa"/>
          </w:tcPr>
          <w:p w14:paraId="19155D41" w14:textId="58F78D46" w:rsidR="0006754C" w:rsidRPr="00A9026F" w:rsidRDefault="0006754C" w:rsidP="00F42FBD">
            <w:pPr>
              <w:spacing w:line="360" w:lineRule="auto"/>
              <w:rPr>
                <w:bCs/>
                <w:color w:val="000000"/>
                <w:sz w:val="22"/>
              </w:rPr>
            </w:pPr>
            <w:r>
              <w:rPr>
                <w:bCs/>
                <w:color w:val="000000"/>
                <w:sz w:val="22"/>
              </w:rPr>
              <w:t>0 (0.0)</w:t>
            </w:r>
          </w:p>
        </w:tc>
        <w:tc>
          <w:tcPr>
            <w:tcW w:w="1350" w:type="dxa"/>
            <w:shd w:val="clear" w:color="auto" w:fill="auto"/>
            <w:noWrap/>
          </w:tcPr>
          <w:p w14:paraId="63A74BEC" w14:textId="1656529A" w:rsidR="0006754C" w:rsidRPr="00A9026F" w:rsidRDefault="0006754C" w:rsidP="00F42FBD">
            <w:pPr>
              <w:spacing w:line="360" w:lineRule="auto"/>
              <w:rPr>
                <w:bCs/>
                <w:color w:val="000000"/>
                <w:sz w:val="22"/>
              </w:rPr>
            </w:pPr>
            <w:r>
              <w:rPr>
                <w:bCs/>
                <w:color w:val="000000"/>
                <w:sz w:val="22"/>
              </w:rPr>
              <w:t>1 (3.5%)</w:t>
            </w:r>
          </w:p>
        </w:tc>
        <w:tc>
          <w:tcPr>
            <w:tcW w:w="1170" w:type="dxa"/>
            <w:shd w:val="clear" w:color="auto" w:fill="auto"/>
            <w:noWrap/>
          </w:tcPr>
          <w:p w14:paraId="24187740" w14:textId="08ABAC7A" w:rsidR="0006754C" w:rsidRPr="00A9026F" w:rsidRDefault="0006754C" w:rsidP="00F42FBD">
            <w:pPr>
              <w:spacing w:line="360" w:lineRule="auto"/>
              <w:rPr>
                <w:bCs/>
                <w:color w:val="000000"/>
                <w:sz w:val="22"/>
              </w:rPr>
            </w:pPr>
            <w:r>
              <w:rPr>
                <w:bCs/>
                <w:color w:val="000000"/>
                <w:sz w:val="22"/>
              </w:rPr>
              <w:t>1 (1.6%)</w:t>
            </w:r>
          </w:p>
        </w:tc>
      </w:tr>
    </w:tbl>
    <w:p w14:paraId="514DC808" w14:textId="77777777" w:rsidR="00F579F5" w:rsidRPr="00F579F5" w:rsidRDefault="00F579F5" w:rsidP="00E34A36">
      <w:pPr>
        <w:rPr>
          <w:rFonts w:eastAsiaTheme="minorEastAsia"/>
          <w:sz w:val="20"/>
          <w:szCs w:val="20"/>
        </w:rPr>
      </w:pPr>
      <w:r w:rsidRPr="00F579F5">
        <w:rPr>
          <w:rFonts w:eastAsiaTheme="minorEastAsia"/>
          <w:i/>
          <w:iCs/>
          <w:sz w:val="20"/>
          <w:szCs w:val="20"/>
        </w:rPr>
        <w:t>CV</w:t>
      </w:r>
      <w:r w:rsidRPr="00F579F5">
        <w:rPr>
          <w:rFonts w:eastAsiaTheme="minorEastAsia"/>
          <w:sz w:val="20"/>
          <w:szCs w:val="20"/>
        </w:rPr>
        <w:t>, Cardiovascular; </w:t>
      </w:r>
      <w:r w:rsidRPr="00F579F5">
        <w:rPr>
          <w:rFonts w:eastAsiaTheme="minorEastAsia"/>
          <w:i/>
          <w:iCs/>
          <w:sz w:val="20"/>
          <w:szCs w:val="20"/>
        </w:rPr>
        <w:t>IQR</w:t>
      </w:r>
      <w:r w:rsidRPr="00F579F5">
        <w:rPr>
          <w:rFonts w:eastAsiaTheme="minorEastAsia"/>
          <w:sz w:val="20"/>
          <w:szCs w:val="20"/>
        </w:rPr>
        <w:t>, interquartile range.</w:t>
      </w:r>
    </w:p>
    <w:p w14:paraId="2FFFC814" w14:textId="1C44F79D" w:rsidR="00F579F5" w:rsidRPr="00F579F5" w:rsidRDefault="00F579F5" w:rsidP="00E34A36">
      <w:pPr>
        <w:rPr>
          <w:rFonts w:eastAsiaTheme="minorEastAsia"/>
          <w:sz w:val="20"/>
          <w:szCs w:val="20"/>
        </w:rPr>
      </w:pPr>
      <w:r w:rsidRPr="00F579F5">
        <w:rPr>
          <w:rFonts w:ascii="Cambria Math" w:eastAsiaTheme="minorEastAsia" w:hAnsi="Cambria Math" w:cs="Cambria Math"/>
          <w:sz w:val="20"/>
          <w:szCs w:val="20"/>
        </w:rPr>
        <w:lastRenderedPageBreak/>
        <w:t>∗</w:t>
      </w:r>
      <w:r w:rsidRPr="00F579F5">
        <w:rPr>
          <w:rFonts w:eastAsiaTheme="minorEastAsia"/>
          <w:sz w:val="20"/>
          <w:szCs w:val="20"/>
        </w:rPr>
        <w:t> Other category includes 1-</w:t>
      </w:r>
      <w:r w:rsidR="00CF2EB4">
        <w:rPr>
          <w:rFonts w:eastAsiaTheme="minorEastAsia"/>
          <w:sz w:val="20"/>
          <w:szCs w:val="20"/>
        </w:rPr>
        <w:t>5</w:t>
      </w:r>
      <w:r w:rsidRPr="00F579F5">
        <w:rPr>
          <w:rFonts w:eastAsiaTheme="minorEastAsia"/>
          <w:sz w:val="20"/>
          <w:szCs w:val="20"/>
        </w:rPr>
        <w:t xml:space="preserve"> cases each from Austria,</w:t>
      </w:r>
      <w:r w:rsidR="007C5092" w:rsidRPr="007C5092">
        <w:rPr>
          <w:rFonts w:eastAsiaTheme="minorEastAsia"/>
          <w:sz w:val="20"/>
          <w:szCs w:val="20"/>
        </w:rPr>
        <w:t xml:space="preserve"> Belgium,</w:t>
      </w:r>
      <w:r w:rsidR="00BE0208" w:rsidRPr="007C5092">
        <w:rPr>
          <w:rFonts w:eastAsiaTheme="minorEastAsia"/>
          <w:sz w:val="20"/>
          <w:szCs w:val="20"/>
        </w:rPr>
        <w:t xml:space="preserve"> </w:t>
      </w:r>
      <w:r w:rsidRPr="00F579F5">
        <w:rPr>
          <w:rFonts w:eastAsiaTheme="minorEastAsia"/>
          <w:sz w:val="20"/>
          <w:szCs w:val="20"/>
        </w:rPr>
        <w:t xml:space="preserve">Canada, </w:t>
      </w:r>
      <w:r w:rsidR="007C5092" w:rsidRPr="00F579F5">
        <w:rPr>
          <w:rFonts w:eastAsiaTheme="minorEastAsia"/>
          <w:sz w:val="20"/>
          <w:szCs w:val="20"/>
        </w:rPr>
        <w:t>Czech Republic</w:t>
      </w:r>
      <w:r w:rsidR="007C5092" w:rsidRPr="007C5092">
        <w:rPr>
          <w:rFonts w:eastAsiaTheme="minorEastAsia"/>
          <w:sz w:val="20"/>
          <w:szCs w:val="20"/>
        </w:rPr>
        <w:t xml:space="preserve">, </w:t>
      </w:r>
      <w:r w:rsidRPr="00F579F5">
        <w:rPr>
          <w:rFonts w:eastAsiaTheme="minorEastAsia"/>
          <w:sz w:val="20"/>
          <w:szCs w:val="20"/>
        </w:rPr>
        <w:t>Denmark</w:t>
      </w:r>
      <w:r w:rsidR="00FD514F" w:rsidRPr="007C5092">
        <w:rPr>
          <w:rFonts w:eastAsiaTheme="minorEastAsia"/>
          <w:sz w:val="20"/>
          <w:szCs w:val="20"/>
        </w:rPr>
        <w:t>,</w:t>
      </w:r>
      <w:r w:rsidR="007C5092" w:rsidRPr="007C5092">
        <w:rPr>
          <w:rFonts w:eastAsiaTheme="minorEastAsia"/>
          <w:sz w:val="20"/>
          <w:szCs w:val="20"/>
        </w:rPr>
        <w:t xml:space="preserve"> Germany,</w:t>
      </w:r>
      <w:r w:rsidR="00FD514F" w:rsidRPr="007C5092">
        <w:rPr>
          <w:rFonts w:eastAsiaTheme="minorEastAsia"/>
          <w:sz w:val="20"/>
          <w:szCs w:val="20"/>
        </w:rPr>
        <w:t xml:space="preserve"> </w:t>
      </w:r>
      <w:r w:rsidRPr="00F579F5">
        <w:rPr>
          <w:rFonts w:eastAsiaTheme="minorEastAsia"/>
          <w:sz w:val="20"/>
          <w:szCs w:val="20"/>
        </w:rPr>
        <w:t>Ireland, Peru, Saudi Arabia, and Spain.</w:t>
      </w:r>
    </w:p>
    <w:p w14:paraId="02AB73B2" w14:textId="1CDBF537" w:rsidR="00F579F5" w:rsidRPr="00F579F5" w:rsidRDefault="00F579F5" w:rsidP="00E34A36">
      <w:pPr>
        <w:rPr>
          <w:rFonts w:eastAsiaTheme="minorEastAsia"/>
          <w:sz w:val="20"/>
          <w:szCs w:val="20"/>
        </w:rPr>
      </w:pPr>
      <w:r w:rsidRPr="00F579F5">
        <w:rPr>
          <w:rFonts w:eastAsiaTheme="minorEastAsia"/>
          <w:sz w:val="20"/>
          <w:szCs w:val="20"/>
        </w:rPr>
        <w:t>† Other category includes 1-</w:t>
      </w:r>
      <w:r w:rsidR="00CF2EB4">
        <w:rPr>
          <w:rFonts w:eastAsiaTheme="minorEastAsia"/>
          <w:sz w:val="20"/>
          <w:szCs w:val="20"/>
        </w:rPr>
        <w:t>5</w:t>
      </w:r>
      <w:r w:rsidRPr="00F579F5">
        <w:rPr>
          <w:rFonts w:eastAsiaTheme="minorEastAsia"/>
          <w:sz w:val="20"/>
          <w:szCs w:val="20"/>
        </w:rPr>
        <w:t xml:space="preserve"> cases each from Canada, Czech Republic, </w:t>
      </w:r>
      <w:r w:rsidR="00F8783A">
        <w:rPr>
          <w:rFonts w:eastAsiaTheme="minorEastAsia"/>
          <w:sz w:val="20"/>
          <w:szCs w:val="20"/>
        </w:rPr>
        <w:t xml:space="preserve">India, </w:t>
      </w:r>
      <w:r w:rsidRPr="00F579F5">
        <w:rPr>
          <w:rFonts w:eastAsiaTheme="minorEastAsia"/>
          <w:sz w:val="20"/>
          <w:szCs w:val="20"/>
        </w:rPr>
        <w:t>Israel, and Saudi Arabia.</w:t>
      </w:r>
    </w:p>
    <w:p w14:paraId="5057C0F3" w14:textId="648DCD6F" w:rsidR="00B37AD4" w:rsidRDefault="00B37AD4" w:rsidP="00F42FBD">
      <w:pPr>
        <w:spacing w:line="360" w:lineRule="auto"/>
      </w:pPr>
    </w:p>
    <w:sectPr w:rsidR="00B37AD4" w:rsidSect="005D2D7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2DEC" w14:textId="77777777" w:rsidR="00FF341E" w:rsidRDefault="00FF341E" w:rsidP="002505A0">
      <w:r>
        <w:separator/>
      </w:r>
    </w:p>
  </w:endnote>
  <w:endnote w:type="continuationSeparator" w:id="0">
    <w:p w14:paraId="135F78EC" w14:textId="77777777" w:rsidR="00FF341E" w:rsidRDefault="00FF341E" w:rsidP="0025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79A5" w14:textId="77777777" w:rsidR="00FF341E" w:rsidRDefault="00FF341E" w:rsidP="002505A0">
      <w:r>
        <w:separator/>
      </w:r>
    </w:p>
  </w:footnote>
  <w:footnote w:type="continuationSeparator" w:id="0">
    <w:p w14:paraId="0146D710" w14:textId="77777777" w:rsidR="00FF341E" w:rsidRDefault="00FF341E" w:rsidP="0025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B86"/>
    <w:multiLevelType w:val="hybridMultilevel"/>
    <w:tmpl w:val="A3ACA620"/>
    <w:lvl w:ilvl="0" w:tplc="D430D8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4BB"/>
    <w:multiLevelType w:val="hybridMultilevel"/>
    <w:tmpl w:val="ADD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54A36"/>
    <w:multiLevelType w:val="hybridMultilevel"/>
    <w:tmpl w:val="EFD8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C4D52"/>
    <w:multiLevelType w:val="hybridMultilevel"/>
    <w:tmpl w:val="BD60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C5396"/>
    <w:multiLevelType w:val="hybridMultilevel"/>
    <w:tmpl w:val="1038A0A6"/>
    <w:lvl w:ilvl="0" w:tplc="83EA1D94">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C51"/>
    <w:multiLevelType w:val="hybridMultilevel"/>
    <w:tmpl w:val="5BAC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4BC1"/>
    <w:multiLevelType w:val="multilevel"/>
    <w:tmpl w:val="EBF2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E2B02"/>
    <w:multiLevelType w:val="hybridMultilevel"/>
    <w:tmpl w:val="572EE77C"/>
    <w:lvl w:ilvl="0" w:tplc="D430D8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E78DB"/>
    <w:multiLevelType w:val="hybridMultilevel"/>
    <w:tmpl w:val="8FFC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3799C"/>
    <w:multiLevelType w:val="hybridMultilevel"/>
    <w:tmpl w:val="E100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475634">
    <w:abstractNumId w:val="5"/>
  </w:num>
  <w:num w:numId="2" w16cid:durableId="2090927109">
    <w:abstractNumId w:val="9"/>
  </w:num>
  <w:num w:numId="3" w16cid:durableId="1315908963">
    <w:abstractNumId w:val="1"/>
  </w:num>
  <w:num w:numId="4" w16cid:durableId="188298520">
    <w:abstractNumId w:val="8"/>
  </w:num>
  <w:num w:numId="5" w16cid:durableId="1451128626">
    <w:abstractNumId w:val="4"/>
  </w:num>
  <w:num w:numId="6" w16cid:durableId="1921140750">
    <w:abstractNumId w:val="2"/>
  </w:num>
  <w:num w:numId="7" w16cid:durableId="1066496319">
    <w:abstractNumId w:val="6"/>
  </w:num>
  <w:num w:numId="8" w16cid:durableId="1762020471">
    <w:abstractNumId w:val="7"/>
  </w:num>
  <w:num w:numId="9" w16cid:durableId="1355038833">
    <w:abstractNumId w:val="3"/>
  </w:num>
  <w:num w:numId="10" w16cid:durableId="126831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9D"/>
    <w:rsid w:val="00004C52"/>
    <w:rsid w:val="00011B85"/>
    <w:rsid w:val="00013E59"/>
    <w:rsid w:val="00016720"/>
    <w:rsid w:val="00020F9C"/>
    <w:rsid w:val="00023080"/>
    <w:rsid w:val="00033089"/>
    <w:rsid w:val="000455A1"/>
    <w:rsid w:val="000479C9"/>
    <w:rsid w:val="00047B8A"/>
    <w:rsid w:val="000612BF"/>
    <w:rsid w:val="00063BC8"/>
    <w:rsid w:val="0006754C"/>
    <w:rsid w:val="0007224A"/>
    <w:rsid w:val="00074ABB"/>
    <w:rsid w:val="0007517A"/>
    <w:rsid w:val="00077550"/>
    <w:rsid w:val="000776C6"/>
    <w:rsid w:val="00080FB7"/>
    <w:rsid w:val="000833A7"/>
    <w:rsid w:val="00086FAA"/>
    <w:rsid w:val="00094181"/>
    <w:rsid w:val="000943FA"/>
    <w:rsid w:val="000954D7"/>
    <w:rsid w:val="00096980"/>
    <w:rsid w:val="00097C62"/>
    <w:rsid w:val="000A39BE"/>
    <w:rsid w:val="000A5D8F"/>
    <w:rsid w:val="000B1692"/>
    <w:rsid w:val="000C12AC"/>
    <w:rsid w:val="000C35C3"/>
    <w:rsid w:val="000D505E"/>
    <w:rsid w:val="000D5E8A"/>
    <w:rsid w:val="000E148D"/>
    <w:rsid w:val="000E3854"/>
    <w:rsid w:val="000E450F"/>
    <w:rsid w:val="000E4A72"/>
    <w:rsid w:val="000E5030"/>
    <w:rsid w:val="000E71CF"/>
    <w:rsid w:val="000F3AA1"/>
    <w:rsid w:val="000F419D"/>
    <w:rsid w:val="000F5CE6"/>
    <w:rsid w:val="001006F2"/>
    <w:rsid w:val="0011084F"/>
    <w:rsid w:val="001119B4"/>
    <w:rsid w:val="0011282D"/>
    <w:rsid w:val="00116467"/>
    <w:rsid w:val="00121110"/>
    <w:rsid w:val="00122F70"/>
    <w:rsid w:val="00123EC2"/>
    <w:rsid w:val="0012526F"/>
    <w:rsid w:val="00125AF8"/>
    <w:rsid w:val="001324D2"/>
    <w:rsid w:val="00133F58"/>
    <w:rsid w:val="00134763"/>
    <w:rsid w:val="0013550D"/>
    <w:rsid w:val="00142A68"/>
    <w:rsid w:val="00143731"/>
    <w:rsid w:val="00144F43"/>
    <w:rsid w:val="00152D99"/>
    <w:rsid w:val="00152F27"/>
    <w:rsid w:val="00156CFE"/>
    <w:rsid w:val="0016197D"/>
    <w:rsid w:val="00162CBC"/>
    <w:rsid w:val="0016394A"/>
    <w:rsid w:val="00163F7C"/>
    <w:rsid w:val="00165670"/>
    <w:rsid w:val="00180939"/>
    <w:rsid w:val="00180AD5"/>
    <w:rsid w:val="00181232"/>
    <w:rsid w:val="001834AB"/>
    <w:rsid w:val="001839A6"/>
    <w:rsid w:val="00186D8A"/>
    <w:rsid w:val="001874C7"/>
    <w:rsid w:val="0019019A"/>
    <w:rsid w:val="001903DA"/>
    <w:rsid w:val="00191877"/>
    <w:rsid w:val="00193021"/>
    <w:rsid w:val="00194C60"/>
    <w:rsid w:val="00195483"/>
    <w:rsid w:val="00197D09"/>
    <w:rsid w:val="001A28DF"/>
    <w:rsid w:val="001A381A"/>
    <w:rsid w:val="001A4EC2"/>
    <w:rsid w:val="001A5B00"/>
    <w:rsid w:val="001A7265"/>
    <w:rsid w:val="001B11D5"/>
    <w:rsid w:val="001B202A"/>
    <w:rsid w:val="001B433D"/>
    <w:rsid w:val="001B76FC"/>
    <w:rsid w:val="001C6F09"/>
    <w:rsid w:val="001D1854"/>
    <w:rsid w:val="001D360C"/>
    <w:rsid w:val="001D4437"/>
    <w:rsid w:val="001D6D5C"/>
    <w:rsid w:val="001D78B3"/>
    <w:rsid w:val="001E5C12"/>
    <w:rsid w:val="001F363B"/>
    <w:rsid w:val="001F49B0"/>
    <w:rsid w:val="001F7AA8"/>
    <w:rsid w:val="001F7FA2"/>
    <w:rsid w:val="002063FE"/>
    <w:rsid w:val="00207763"/>
    <w:rsid w:val="00215751"/>
    <w:rsid w:val="00216AB4"/>
    <w:rsid w:val="00224F85"/>
    <w:rsid w:val="002274D0"/>
    <w:rsid w:val="002329E9"/>
    <w:rsid w:val="002334BB"/>
    <w:rsid w:val="00242664"/>
    <w:rsid w:val="0024269E"/>
    <w:rsid w:val="00243B05"/>
    <w:rsid w:val="00244DA2"/>
    <w:rsid w:val="0024738B"/>
    <w:rsid w:val="002505A0"/>
    <w:rsid w:val="002516A6"/>
    <w:rsid w:val="00254BC6"/>
    <w:rsid w:val="0025652B"/>
    <w:rsid w:val="00256DBA"/>
    <w:rsid w:val="0026022A"/>
    <w:rsid w:val="00263A86"/>
    <w:rsid w:val="002659AB"/>
    <w:rsid w:val="00266195"/>
    <w:rsid w:val="0026705C"/>
    <w:rsid w:val="00271183"/>
    <w:rsid w:val="00271BD3"/>
    <w:rsid w:val="002722E7"/>
    <w:rsid w:val="00276B94"/>
    <w:rsid w:val="0028022C"/>
    <w:rsid w:val="00281760"/>
    <w:rsid w:val="00281825"/>
    <w:rsid w:val="0028778D"/>
    <w:rsid w:val="00294867"/>
    <w:rsid w:val="002952C1"/>
    <w:rsid w:val="002967F0"/>
    <w:rsid w:val="002A6B39"/>
    <w:rsid w:val="002B1C9D"/>
    <w:rsid w:val="002B213B"/>
    <w:rsid w:val="002B59A6"/>
    <w:rsid w:val="002C0363"/>
    <w:rsid w:val="002C2A68"/>
    <w:rsid w:val="002C348B"/>
    <w:rsid w:val="002C47E3"/>
    <w:rsid w:val="002C69C5"/>
    <w:rsid w:val="002C6CC3"/>
    <w:rsid w:val="002C7C58"/>
    <w:rsid w:val="002D2BB1"/>
    <w:rsid w:val="002D42CB"/>
    <w:rsid w:val="002D44C3"/>
    <w:rsid w:val="002D7DF5"/>
    <w:rsid w:val="002E0341"/>
    <w:rsid w:val="002E310A"/>
    <w:rsid w:val="002E33BA"/>
    <w:rsid w:val="002E706F"/>
    <w:rsid w:val="002F7367"/>
    <w:rsid w:val="00300AD8"/>
    <w:rsid w:val="003076BA"/>
    <w:rsid w:val="00312F08"/>
    <w:rsid w:val="00313B9A"/>
    <w:rsid w:val="00314319"/>
    <w:rsid w:val="0031767F"/>
    <w:rsid w:val="00320F39"/>
    <w:rsid w:val="00321594"/>
    <w:rsid w:val="003224ED"/>
    <w:rsid w:val="0032395E"/>
    <w:rsid w:val="0032417D"/>
    <w:rsid w:val="003246EA"/>
    <w:rsid w:val="00325814"/>
    <w:rsid w:val="00331AB3"/>
    <w:rsid w:val="00336372"/>
    <w:rsid w:val="0034501A"/>
    <w:rsid w:val="003473AC"/>
    <w:rsid w:val="0034765F"/>
    <w:rsid w:val="0034799C"/>
    <w:rsid w:val="003553DF"/>
    <w:rsid w:val="00355C9D"/>
    <w:rsid w:val="00356201"/>
    <w:rsid w:val="00362D23"/>
    <w:rsid w:val="00372FA2"/>
    <w:rsid w:val="00376B4B"/>
    <w:rsid w:val="00381ACC"/>
    <w:rsid w:val="00385710"/>
    <w:rsid w:val="003874CF"/>
    <w:rsid w:val="00391FAB"/>
    <w:rsid w:val="00392A33"/>
    <w:rsid w:val="00396BB0"/>
    <w:rsid w:val="003A4906"/>
    <w:rsid w:val="003A5482"/>
    <w:rsid w:val="003A67FB"/>
    <w:rsid w:val="003B1B77"/>
    <w:rsid w:val="003B6FF8"/>
    <w:rsid w:val="003C0978"/>
    <w:rsid w:val="003C1985"/>
    <w:rsid w:val="003C6C02"/>
    <w:rsid w:val="003D01EB"/>
    <w:rsid w:val="003E3DE4"/>
    <w:rsid w:val="003F40B9"/>
    <w:rsid w:val="003F456E"/>
    <w:rsid w:val="00401082"/>
    <w:rsid w:val="00403B33"/>
    <w:rsid w:val="00410F47"/>
    <w:rsid w:val="00420537"/>
    <w:rsid w:val="0042324E"/>
    <w:rsid w:val="00424504"/>
    <w:rsid w:val="00426DB2"/>
    <w:rsid w:val="00431FD2"/>
    <w:rsid w:val="0043729A"/>
    <w:rsid w:val="00441F7F"/>
    <w:rsid w:val="004456F7"/>
    <w:rsid w:val="00452503"/>
    <w:rsid w:val="00453CB6"/>
    <w:rsid w:val="00460DE0"/>
    <w:rsid w:val="00463452"/>
    <w:rsid w:val="004674FB"/>
    <w:rsid w:val="00467663"/>
    <w:rsid w:val="004758ED"/>
    <w:rsid w:val="0048010F"/>
    <w:rsid w:val="0048364F"/>
    <w:rsid w:val="004843DA"/>
    <w:rsid w:val="004870EA"/>
    <w:rsid w:val="0048713A"/>
    <w:rsid w:val="00491369"/>
    <w:rsid w:val="00492704"/>
    <w:rsid w:val="0049459B"/>
    <w:rsid w:val="004A09B2"/>
    <w:rsid w:val="004A236A"/>
    <w:rsid w:val="004A5D64"/>
    <w:rsid w:val="004C2978"/>
    <w:rsid w:val="004C3232"/>
    <w:rsid w:val="004C3A87"/>
    <w:rsid w:val="004C682C"/>
    <w:rsid w:val="004D1D46"/>
    <w:rsid w:val="004D2CC4"/>
    <w:rsid w:val="004D5527"/>
    <w:rsid w:val="004D5C5C"/>
    <w:rsid w:val="004D7775"/>
    <w:rsid w:val="004E1A6A"/>
    <w:rsid w:val="004E5523"/>
    <w:rsid w:val="004E5A6F"/>
    <w:rsid w:val="004E75BC"/>
    <w:rsid w:val="004F0489"/>
    <w:rsid w:val="004F0EBA"/>
    <w:rsid w:val="004F29DF"/>
    <w:rsid w:val="004F6510"/>
    <w:rsid w:val="004F7532"/>
    <w:rsid w:val="0050307C"/>
    <w:rsid w:val="00504BEE"/>
    <w:rsid w:val="005127C8"/>
    <w:rsid w:val="00515808"/>
    <w:rsid w:val="00522F20"/>
    <w:rsid w:val="005248A2"/>
    <w:rsid w:val="00524C7D"/>
    <w:rsid w:val="00526EFD"/>
    <w:rsid w:val="005416F4"/>
    <w:rsid w:val="005431EF"/>
    <w:rsid w:val="0054468A"/>
    <w:rsid w:val="0054604C"/>
    <w:rsid w:val="0055237D"/>
    <w:rsid w:val="00552E20"/>
    <w:rsid w:val="00553A13"/>
    <w:rsid w:val="00560872"/>
    <w:rsid w:val="005627D1"/>
    <w:rsid w:val="0056622E"/>
    <w:rsid w:val="00572903"/>
    <w:rsid w:val="0057391A"/>
    <w:rsid w:val="0057703A"/>
    <w:rsid w:val="00580339"/>
    <w:rsid w:val="00584F99"/>
    <w:rsid w:val="005856AB"/>
    <w:rsid w:val="005B2B26"/>
    <w:rsid w:val="005C7408"/>
    <w:rsid w:val="005D09AB"/>
    <w:rsid w:val="005D2D71"/>
    <w:rsid w:val="005D605F"/>
    <w:rsid w:val="005E3888"/>
    <w:rsid w:val="005F40D8"/>
    <w:rsid w:val="005F42F9"/>
    <w:rsid w:val="005F5FF7"/>
    <w:rsid w:val="005F617C"/>
    <w:rsid w:val="006001FE"/>
    <w:rsid w:val="00601BD8"/>
    <w:rsid w:val="0060426D"/>
    <w:rsid w:val="00607665"/>
    <w:rsid w:val="00611EFF"/>
    <w:rsid w:val="00612411"/>
    <w:rsid w:val="00613CF1"/>
    <w:rsid w:val="00620D78"/>
    <w:rsid w:val="00623FBA"/>
    <w:rsid w:val="0062490F"/>
    <w:rsid w:val="00630A42"/>
    <w:rsid w:val="0063417E"/>
    <w:rsid w:val="0064167F"/>
    <w:rsid w:val="0065784C"/>
    <w:rsid w:val="00657E34"/>
    <w:rsid w:val="00661EFA"/>
    <w:rsid w:val="00662419"/>
    <w:rsid w:val="0067023F"/>
    <w:rsid w:val="0068275F"/>
    <w:rsid w:val="00685852"/>
    <w:rsid w:val="006874E9"/>
    <w:rsid w:val="00695D85"/>
    <w:rsid w:val="00696C71"/>
    <w:rsid w:val="00697D10"/>
    <w:rsid w:val="00697E0E"/>
    <w:rsid w:val="006A012B"/>
    <w:rsid w:val="006A085A"/>
    <w:rsid w:val="006A2B7B"/>
    <w:rsid w:val="006B4978"/>
    <w:rsid w:val="006B62DD"/>
    <w:rsid w:val="006C1633"/>
    <w:rsid w:val="006C2FA5"/>
    <w:rsid w:val="006C35C9"/>
    <w:rsid w:val="006C365C"/>
    <w:rsid w:val="006C4435"/>
    <w:rsid w:val="006C655E"/>
    <w:rsid w:val="006D0DCD"/>
    <w:rsid w:val="006D3B13"/>
    <w:rsid w:val="006D4415"/>
    <w:rsid w:val="006D6102"/>
    <w:rsid w:val="006D6D5D"/>
    <w:rsid w:val="006D71B0"/>
    <w:rsid w:val="006E3D43"/>
    <w:rsid w:val="006E5D64"/>
    <w:rsid w:val="006F15B1"/>
    <w:rsid w:val="006F3726"/>
    <w:rsid w:val="006F534F"/>
    <w:rsid w:val="006F6C3E"/>
    <w:rsid w:val="006F75A3"/>
    <w:rsid w:val="00704BE7"/>
    <w:rsid w:val="00705158"/>
    <w:rsid w:val="00705AFA"/>
    <w:rsid w:val="00711BAF"/>
    <w:rsid w:val="0071440F"/>
    <w:rsid w:val="00714942"/>
    <w:rsid w:val="0071641B"/>
    <w:rsid w:val="00717F96"/>
    <w:rsid w:val="00722C94"/>
    <w:rsid w:val="007236DE"/>
    <w:rsid w:val="00724CAB"/>
    <w:rsid w:val="00732475"/>
    <w:rsid w:val="00741FAB"/>
    <w:rsid w:val="007420AC"/>
    <w:rsid w:val="00743A7D"/>
    <w:rsid w:val="0075058C"/>
    <w:rsid w:val="007534A1"/>
    <w:rsid w:val="00760AFC"/>
    <w:rsid w:val="007631EC"/>
    <w:rsid w:val="007771CD"/>
    <w:rsid w:val="0079205A"/>
    <w:rsid w:val="00792FF4"/>
    <w:rsid w:val="007A4204"/>
    <w:rsid w:val="007A61B6"/>
    <w:rsid w:val="007A6DC3"/>
    <w:rsid w:val="007A7FB1"/>
    <w:rsid w:val="007B4126"/>
    <w:rsid w:val="007C175F"/>
    <w:rsid w:val="007C1E93"/>
    <w:rsid w:val="007C3C0D"/>
    <w:rsid w:val="007C49AC"/>
    <w:rsid w:val="007C5092"/>
    <w:rsid w:val="007C616C"/>
    <w:rsid w:val="007D07B3"/>
    <w:rsid w:val="007D083A"/>
    <w:rsid w:val="007D119B"/>
    <w:rsid w:val="007D504B"/>
    <w:rsid w:val="007E167A"/>
    <w:rsid w:val="007E1EF8"/>
    <w:rsid w:val="007E1F08"/>
    <w:rsid w:val="007E3854"/>
    <w:rsid w:val="007E577E"/>
    <w:rsid w:val="007E6822"/>
    <w:rsid w:val="007F0C69"/>
    <w:rsid w:val="007F1983"/>
    <w:rsid w:val="00802A7F"/>
    <w:rsid w:val="00806A05"/>
    <w:rsid w:val="00806A99"/>
    <w:rsid w:val="00814CD8"/>
    <w:rsid w:val="00821766"/>
    <w:rsid w:val="00824591"/>
    <w:rsid w:val="0083115E"/>
    <w:rsid w:val="00831A32"/>
    <w:rsid w:val="00832FCF"/>
    <w:rsid w:val="00840BED"/>
    <w:rsid w:val="008516FC"/>
    <w:rsid w:val="0085512F"/>
    <w:rsid w:val="00856276"/>
    <w:rsid w:val="0087691C"/>
    <w:rsid w:val="00892D56"/>
    <w:rsid w:val="008A1623"/>
    <w:rsid w:val="008B166D"/>
    <w:rsid w:val="008B2856"/>
    <w:rsid w:val="008C2DAA"/>
    <w:rsid w:val="008C2F67"/>
    <w:rsid w:val="008D091E"/>
    <w:rsid w:val="008D0D43"/>
    <w:rsid w:val="008D3B46"/>
    <w:rsid w:val="008D4EF5"/>
    <w:rsid w:val="008D6223"/>
    <w:rsid w:val="008D67F0"/>
    <w:rsid w:val="008D7839"/>
    <w:rsid w:val="008D7A07"/>
    <w:rsid w:val="008E5A56"/>
    <w:rsid w:val="008E5B62"/>
    <w:rsid w:val="008F0D57"/>
    <w:rsid w:val="008F11E9"/>
    <w:rsid w:val="008F5C24"/>
    <w:rsid w:val="009020CA"/>
    <w:rsid w:val="009153A4"/>
    <w:rsid w:val="00915B66"/>
    <w:rsid w:val="00916312"/>
    <w:rsid w:val="0092272A"/>
    <w:rsid w:val="009333B6"/>
    <w:rsid w:val="0094301D"/>
    <w:rsid w:val="00944711"/>
    <w:rsid w:val="00945896"/>
    <w:rsid w:val="00946749"/>
    <w:rsid w:val="00946C34"/>
    <w:rsid w:val="00954B49"/>
    <w:rsid w:val="00955F42"/>
    <w:rsid w:val="009632F2"/>
    <w:rsid w:val="009656C3"/>
    <w:rsid w:val="00966466"/>
    <w:rsid w:val="00967E90"/>
    <w:rsid w:val="00987B76"/>
    <w:rsid w:val="0099573B"/>
    <w:rsid w:val="00995F2E"/>
    <w:rsid w:val="009A1554"/>
    <w:rsid w:val="009A3545"/>
    <w:rsid w:val="009A3C82"/>
    <w:rsid w:val="009A640C"/>
    <w:rsid w:val="009A68C0"/>
    <w:rsid w:val="009A7057"/>
    <w:rsid w:val="009B0722"/>
    <w:rsid w:val="009B2F29"/>
    <w:rsid w:val="009B35EC"/>
    <w:rsid w:val="009B4710"/>
    <w:rsid w:val="009B76F6"/>
    <w:rsid w:val="009B7815"/>
    <w:rsid w:val="009C0FCD"/>
    <w:rsid w:val="009C40EB"/>
    <w:rsid w:val="009C7BC2"/>
    <w:rsid w:val="009D30CD"/>
    <w:rsid w:val="009E0153"/>
    <w:rsid w:val="009E2A24"/>
    <w:rsid w:val="009E5CA2"/>
    <w:rsid w:val="009F044C"/>
    <w:rsid w:val="009F1607"/>
    <w:rsid w:val="00A01296"/>
    <w:rsid w:val="00A04CD5"/>
    <w:rsid w:val="00A05046"/>
    <w:rsid w:val="00A100E9"/>
    <w:rsid w:val="00A12F58"/>
    <w:rsid w:val="00A16635"/>
    <w:rsid w:val="00A232D0"/>
    <w:rsid w:val="00A27641"/>
    <w:rsid w:val="00A372DF"/>
    <w:rsid w:val="00A42D6B"/>
    <w:rsid w:val="00A43852"/>
    <w:rsid w:val="00A450DE"/>
    <w:rsid w:val="00A477F9"/>
    <w:rsid w:val="00A52128"/>
    <w:rsid w:val="00A52BAB"/>
    <w:rsid w:val="00A5403B"/>
    <w:rsid w:val="00A70A5A"/>
    <w:rsid w:val="00A731BC"/>
    <w:rsid w:val="00A7617B"/>
    <w:rsid w:val="00A80B6F"/>
    <w:rsid w:val="00A81401"/>
    <w:rsid w:val="00A8428E"/>
    <w:rsid w:val="00A9026F"/>
    <w:rsid w:val="00A94938"/>
    <w:rsid w:val="00A9529C"/>
    <w:rsid w:val="00A969DE"/>
    <w:rsid w:val="00AA0733"/>
    <w:rsid w:val="00AA14AF"/>
    <w:rsid w:val="00AB03BE"/>
    <w:rsid w:val="00AB3DA9"/>
    <w:rsid w:val="00AB598E"/>
    <w:rsid w:val="00AC1CD2"/>
    <w:rsid w:val="00AC326C"/>
    <w:rsid w:val="00AC69B7"/>
    <w:rsid w:val="00AD1249"/>
    <w:rsid w:val="00AD352B"/>
    <w:rsid w:val="00AD412F"/>
    <w:rsid w:val="00AE048F"/>
    <w:rsid w:val="00AE73DB"/>
    <w:rsid w:val="00AF2E8A"/>
    <w:rsid w:val="00B03138"/>
    <w:rsid w:val="00B03903"/>
    <w:rsid w:val="00B05728"/>
    <w:rsid w:val="00B14DAB"/>
    <w:rsid w:val="00B1609A"/>
    <w:rsid w:val="00B1738F"/>
    <w:rsid w:val="00B214E7"/>
    <w:rsid w:val="00B21C1D"/>
    <w:rsid w:val="00B23965"/>
    <w:rsid w:val="00B26A2C"/>
    <w:rsid w:val="00B30DD3"/>
    <w:rsid w:val="00B338F9"/>
    <w:rsid w:val="00B341A3"/>
    <w:rsid w:val="00B35395"/>
    <w:rsid w:val="00B353ED"/>
    <w:rsid w:val="00B37AD4"/>
    <w:rsid w:val="00B54308"/>
    <w:rsid w:val="00B56263"/>
    <w:rsid w:val="00B56BEE"/>
    <w:rsid w:val="00B66AA6"/>
    <w:rsid w:val="00B74352"/>
    <w:rsid w:val="00B8552A"/>
    <w:rsid w:val="00B85EF6"/>
    <w:rsid w:val="00B874A5"/>
    <w:rsid w:val="00B93A39"/>
    <w:rsid w:val="00B95D13"/>
    <w:rsid w:val="00BA51DA"/>
    <w:rsid w:val="00BA5C14"/>
    <w:rsid w:val="00BB2C35"/>
    <w:rsid w:val="00BB5048"/>
    <w:rsid w:val="00BC1116"/>
    <w:rsid w:val="00BC2280"/>
    <w:rsid w:val="00BD3AFC"/>
    <w:rsid w:val="00BD7EC0"/>
    <w:rsid w:val="00BE0208"/>
    <w:rsid w:val="00BF0ECE"/>
    <w:rsid w:val="00BF25E1"/>
    <w:rsid w:val="00BF306A"/>
    <w:rsid w:val="00BF3196"/>
    <w:rsid w:val="00BF45A3"/>
    <w:rsid w:val="00BF46C3"/>
    <w:rsid w:val="00BF5826"/>
    <w:rsid w:val="00C03F44"/>
    <w:rsid w:val="00C06294"/>
    <w:rsid w:val="00C06DE6"/>
    <w:rsid w:val="00C10771"/>
    <w:rsid w:val="00C11E28"/>
    <w:rsid w:val="00C11E4E"/>
    <w:rsid w:val="00C134A2"/>
    <w:rsid w:val="00C137C5"/>
    <w:rsid w:val="00C13F94"/>
    <w:rsid w:val="00C144A4"/>
    <w:rsid w:val="00C156F5"/>
    <w:rsid w:val="00C15712"/>
    <w:rsid w:val="00C159BA"/>
    <w:rsid w:val="00C15FC4"/>
    <w:rsid w:val="00C1645C"/>
    <w:rsid w:val="00C22216"/>
    <w:rsid w:val="00C23D2F"/>
    <w:rsid w:val="00C36E45"/>
    <w:rsid w:val="00C501C5"/>
    <w:rsid w:val="00C51993"/>
    <w:rsid w:val="00C60C8E"/>
    <w:rsid w:val="00C653D2"/>
    <w:rsid w:val="00C67963"/>
    <w:rsid w:val="00C8228B"/>
    <w:rsid w:val="00C831BD"/>
    <w:rsid w:val="00C92520"/>
    <w:rsid w:val="00CA096D"/>
    <w:rsid w:val="00CA0CE2"/>
    <w:rsid w:val="00CA7F26"/>
    <w:rsid w:val="00CB22C4"/>
    <w:rsid w:val="00CD3374"/>
    <w:rsid w:val="00CD3ECE"/>
    <w:rsid w:val="00CE5705"/>
    <w:rsid w:val="00CE5F76"/>
    <w:rsid w:val="00CE7A9C"/>
    <w:rsid w:val="00CE7BB3"/>
    <w:rsid w:val="00CF091D"/>
    <w:rsid w:val="00CF122A"/>
    <w:rsid w:val="00CF2EB4"/>
    <w:rsid w:val="00CF5445"/>
    <w:rsid w:val="00CF55AE"/>
    <w:rsid w:val="00CF5A96"/>
    <w:rsid w:val="00CF7553"/>
    <w:rsid w:val="00D010D7"/>
    <w:rsid w:val="00D06D0F"/>
    <w:rsid w:val="00D0799F"/>
    <w:rsid w:val="00D11AE6"/>
    <w:rsid w:val="00D165BF"/>
    <w:rsid w:val="00D221DD"/>
    <w:rsid w:val="00D316E9"/>
    <w:rsid w:val="00D3245C"/>
    <w:rsid w:val="00D32CB9"/>
    <w:rsid w:val="00D36CE6"/>
    <w:rsid w:val="00D422CC"/>
    <w:rsid w:val="00D507AD"/>
    <w:rsid w:val="00D51AA8"/>
    <w:rsid w:val="00D53A84"/>
    <w:rsid w:val="00D55B8A"/>
    <w:rsid w:val="00D60E01"/>
    <w:rsid w:val="00D6449D"/>
    <w:rsid w:val="00D7162B"/>
    <w:rsid w:val="00D85DDE"/>
    <w:rsid w:val="00D92705"/>
    <w:rsid w:val="00D938F3"/>
    <w:rsid w:val="00D9576A"/>
    <w:rsid w:val="00D975D8"/>
    <w:rsid w:val="00DA0184"/>
    <w:rsid w:val="00DA1CA9"/>
    <w:rsid w:val="00DA3509"/>
    <w:rsid w:val="00DA4352"/>
    <w:rsid w:val="00DA7E86"/>
    <w:rsid w:val="00DB15B2"/>
    <w:rsid w:val="00DB1617"/>
    <w:rsid w:val="00DB4B2D"/>
    <w:rsid w:val="00DB5C84"/>
    <w:rsid w:val="00DB6934"/>
    <w:rsid w:val="00DC2C08"/>
    <w:rsid w:val="00DC3518"/>
    <w:rsid w:val="00DC4607"/>
    <w:rsid w:val="00DC6997"/>
    <w:rsid w:val="00DD0479"/>
    <w:rsid w:val="00DD1B9A"/>
    <w:rsid w:val="00DD2ABC"/>
    <w:rsid w:val="00DD307A"/>
    <w:rsid w:val="00DD31CE"/>
    <w:rsid w:val="00DD3230"/>
    <w:rsid w:val="00DD37B5"/>
    <w:rsid w:val="00DD6C58"/>
    <w:rsid w:val="00DD7F90"/>
    <w:rsid w:val="00DE25A8"/>
    <w:rsid w:val="00DF0148"/>
    <w:rsid w:val="00DF4A22"/>
    <w:rsid w:val="00DF67BE"/>
    <w:rsid w:val="00DF6E6C"/>
    <w:rsid w:val="00E01553"/>
    <w:rsid w:val="00E02E23"/>
    <w:rsid w:val="00E07202"/>
    <w:rsid w:val="00E07FE5"/>
    <w:rsid w:val="00E177A0"/>
    <w:rsid w:val="00E208FC"/>
    <w:rsid w:val="00E22ABF"/>
    <w:rsid w:val="00E24066"/>
    <w:rsid w:val="00E259F1"/>
    <w:rsid w:val="00E30EF3"/>
    <w:rsid w:val="00E341C8"/>
    <w:rsid w:val="00E34A36"/>
    <w:rsid w:val="00E40564"/>
    <w:rsid w:val="00E46F35"/>
    <w:rsid w:val="00E51693"/>
    <w:rsid w:val="00E55749"/>
    <w:rsid w:val="00E57B7B"/>
    <w:rsid w:val="00E60ECD"/>
    <w:rsid w:val="00E70765"/>
    <w:rsid w:val="00E70B57"/>
    <w:rsid w:val="00E72E7D"/>
    <w:rsid w:val="00E747A0"/>
    <w:rsid w:val="00E74E1C"/>
    <w:rsid w:val="00E7663C"/>
    <w:rsid w:val="00E77998"/>
    <w:rsid w:val="00E84CE7"/>
    <w:rsid w:val="00E87C1A"/>
    <w:rsid w:val="00E903E1"/>
    <w:rsid w:val="00E93024"/>
    <w:rsid w:val="00E93871"/>
    <w:rsid w:val="00EB010C"/>
    <w:rsid w:val="00EB3099"/>
    <w:rsid w:val="00EB5EA9"/>
    <w:rsid w:val="00EC021A"/>
    <w:rsid w:val="00EC0ADF"/>
    <w:rsid w:val="00EC22AA"/>
    <w:rsid w:val="00EC799D"/>
    <w:rsid w:val="00ED1831"/>
    <w:rsid w:val="00ED3C1F"/>
    <w:rsid w:val="00ED6118"/>
    <w:rsid w:val="00EE3E6F"/>
    <w:rsid w:val="00EE6C3E"/>
    <w:rsid w:val="00EE70E6"/>
    <w:rsid w:val="00EF031C"/>
    <w:rsid w:val="00EF39F6"/>
    <w:rsid w:val="00EF4E81"/>
    <w:rsid w:val="00EF5ABC"/>
    <w:rsid w:val="00F04C63"/>
    <w:rsid w:val="00F128A2"/>
    <w:rsid w:val="00F21551"/>
    <w:rsid w:val="00F21914"/>
    <w:rsid w:val="00F238DB"/>
    <w:rsid w:val="00F27915"/>
    <w:rsid w:val="00F27F14"/>
    <w:rsid w:val="00F302AA"/>
    <w:rsid w:val="00F326FD"/>
    <w:rsid w:val="00F32A30"/>
    <w:rsid w:val="00F34399"/>
    <w:rsid w:val="00F34C02"/>
    <w:rsid w:val="00F354A0"/>
    <w:rsid w:val="00F374FB"/>
    <w:rsid w:val="00F37DC5"/>
    <w:rsid w:val="00F4172D"/>
    <w:rsid w:val="00F41C13"/>
    <w:rsid w:val="00F42FBD"/>
    <w:rsid w:val="00F430EB"/>
    <w:rsid w:val="00F45AB8"/>
    <w:rsid w:val="00F55804"/>
    <w:rsid w:val="00F56DA3"/>
    <w:rsid w:val="00F577C5"/>
    <w:rsid w:val="00F57876"/>
    <w:rsid w:val="00F579F5"/>
    <w:rsid w:val="00F603D1"/>
    <w:rsid w:val="00F6175B"/>
    <w:rsid w:val="00F62172"/>
    <w:rsid w:val="00F65DE9"/>
    <w:rsid w:val="00F75478"/>
    <w:rsid w:val="00F75DF2"/>
    <w:rsid w:val="00F7690B"/>
    <w:rsid w:val="00F824FE"/>
    <w:rsid w:val="00F8783A"/>
    <w:rsid w:val="00F914CD"/>
    <w:rsid w:val="00F91A7C"/>
    <w:rsid w:val="00F93C5D"/>
    <w:rsid w:val="00F957E9"/>
    <w:rsid w:val="00F968AE"/>
    <w:rsid w:val="00F97593"/>
    <w:rsid w:val="00FA1814"/>
    <w:rsid w:val="00FA3939"/>
    <w:rsid w:val="00FA64CE"/>
    <w:rsid w:val="00FA663F"/>
    <w:rsid w:val="00FA7FBC"/>
    <w:rsid w:val="00FB0BD8"/>
    <w:rsid w:val="00FB2C4C"/>
    <w:rsid w:val="00FB3E30"/>
    <w:rsid w:val="00FB3EDD"/>
    <w:rsid w:val="00FC063D"/>
    <w:rsid w:val="00FC06ED"/>
    <w:rsid w:val="00FC3680"/>
    <w:rsid w:val="00FC36FA"/>
    <w:rsid w:val="00FC481C"/>
    <w:rsid w:val="00FC5602"/>
    <w:rsid w:val="00FC59A5"/>
    <w:rsid w:val="00FC76E7"/>
    <w:rsid w:val="00FC786C"/>
    <w:rsid w:val="00FD1280"/>
    <w:rsid w:val="00FD16A4"/>
    <w:rsid w:val="00FD2AA2"/>
    <w:rsid w:val="00FD3709"/>
    <w:rsid w:val="00FD514F"/>
    <w:rsid w:val="00FD67F7"/>
    <w:rsid w:val="00FD7408"/>
    <w:rsid w:val="00FE2584"/>
    <w:rsid w:val="00FE32DC"/>
    <w:rsid w:val="00FF341E"/>
    <w:rsid w:val="00FF4EC4"/>
    <w:rsid w:val="00FF65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4B6E"/>
  <w15:chartTrackingRefBased/>
  <w15:docId w15:val="{3791A69D-9601-4780-873E-9481C32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B1C9D"/>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2B1C9D"/>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B1C9D"/>
    <w:pPr>
      <w:keepNext/>
      <w:keepLines/>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B1C9D"/>
    <w:pPr>
      <w:keepNext/>
      <w:keepLines/>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2B1C9D"/>
    <w:pPr>
      <w:keepNext/>
      <w:keepLines/>
      <w:spacing w:before="200"/>
      <w:outlineLvl w:val="4"/>
    </w:pPr>
    <w:rPr>
      <w:rFonts w:asciiTheme="majorHAnsi" w:eastAsiaTheme="majorEastAsia" w:hAnsiTheme="majorHAnsi" w:cstheme="majorBidi"/>
      <w:color w:val="1F3763" w:themeColor="accent1" w:themeShade="7F"/>
      <w:sz w:val="22"/>
    </w:rPr>
  </w:style>
  <w:style w:type="paragraph" w:styleId="Heading6">
    <w:name w:val="heading 6"/>
    <w:basedOn w:val="Normal"/>
    <w:next w:val="Normal"/>
    <w:link w:val="Heading6Char"/>
    <w:uiPriority w:val="9"/>
    <w:semiHidden/>
    <w:unhideWhenUsed/>
    <w:qFormat/>
    <w:rsid w:val="002B1C9D"/>
    <w:pPr>
      <w:keepNext/>
      <w:keepLines/>
      <w:spacing w:before="200"/>
      <w:outlineLvl w:val="5"/>
    </w:pPr>
    <w:rPr>
      <w:rFonts w:asciiTheme="majorHAnsi" w:eastAsiaTheme="majorEastAsia" w:hAnsiTheme="majorHAnsi" w:cstheme="majorBidi"/>
      <w:i/>
      <w:iCs/>
      <w:color w:val="1F3763" w:themeColor="accent1" w:themeShade="7F"/>
      <w:sz w:val="22"/>
    </w:rPr>
  </w:style>
  <w:style w:type="paragraph" w:styleId="Heading7">
    <w:name w:val="heading 7"/>
    <w:basedOn w:val="Normal"/>
    <w:next w:val="Normal"/>
    <w:link w:val="Heading7Char"/>
    <w:uiPriority w:val="9"/>
    <w:semiHidden/>
    <w:unhideWhenUsed/>
    <w:qFormat/>
    <w:rsid w:val="002B1C9D"/>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B1C9D"/>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B1C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9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2B1C9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2B1C9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2B1C9D"/>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sid w:val="002B1C9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B1C9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B1C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C9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B1C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1C9D"/>
    <w:rPr>
      <w:b/>
      <w:bCs/>
      <w:color w:val="4472C4" w:themeColor="accent1"/>
      <w:sz w:val="18"/>
      <w:szCs w:val="18"/>
    </w:rPr>
  </w:style>
  <w:style w:type="paragraph" w:styleId="Title">
    <w:name w:val="Title"/>
    <w:basedOn w:val="Normal"/>
    <w:next w:val="Normal"/>
    <w:link w:val="TitleChar"/>
    <w:uiPriority w:val="10"/>
    <w:qFormat/>
    <w:rsid w:val="002B1C9D"/>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2B1C9D"/>
    <w:rPr>
      <w:rFonts w:ascii="Times New Roman" w:eastAsiaTheme="majorEastAsia" w:hAnsi="Times New Roman" w:cstheme="majorBidi"/>
      <w:b/>
      <w:spacing w:val="5"/>
      <w:kern w:val="28"/>
      <w:sz w:val="24"/>
      <w:szCs w:val="52"/>
    </w:rPr>
  </w:style>
  <w:style w:type="paragraph" w:styleId="Subtitle">
    <w:name w:val="Subtitle"/>
    <w:basedOn w:val="Normal"/>
    <w:next w:val="Normal"/>
    <w:link w:val="SubtitleChar"/>
    <w:uiPriority w:val="11"/>
    <w:qFormat/>
    <w:rsid w:val="002B1C9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B1C9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B1C9D"/>
    <w:rPr>
      <w:b/>
      <w:bCs/>
    </w:rPr>
  </w:style>
  <w:style w:type="character" w:styleId="Emphasis">
    <w:name w:val="Emphasis"/>
    <w:basedOn w:val="DefaultParagraphFont"/>
    <w:uiPriority w:val="20"/>
    <w:qFormat/>
    <w:rsid w:val="002B1C9D"/>
    <w:rPr>
      <w:i/>
      <w:iCs/>
    </w:rPr>
  </w:style>
  <w:style w:type="paragraph" w:styleId="NoSpacing">
    <w:name w:val="No Spacing"/>
    <w:uiPriority w:val="1"/>
    <w:qFormat/>
    <w:rsid w:val="002B1C9D"/>
    <w:pPr>
      <w:spacing w:after="0" w:line="240" w:lineRule="auto"/>
    </w:pPr>
  </w:style>
  <w:style w:type="paragraph" w:styleId="ListParagraph">
    <w:name w:val="List Paragraph"/>
    <w:basedOn w:val="Normal"/>
    <w:uiPriority w:val="34"/>
    <w:qFormat/>
    <w:rsid w:val="002B1C9D"/>
    <w:pPr>
      <w:ind w:left="720"/>
      <w:contextualSpacing/>
    </w:pPr>
  </w:style>
  <w:style w:type="paragraph" w:styleId="Quote">
    <w:name w:val="Quote"/>
    <w:basedOn w:val="Normal"/>
    <w:next w:val="Normal"/>
    <w:link w:val="QuoteChar"/>
    <w:uiPriority w:val="29"/>
    <w:qFormat/>
    <w:rsid w:val="002B1C9D"/>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2B1C9D"/>
    <w:rPr>
      <w:i/>
      <w:iCs/>
      <w:color w:val="000000" w:themeColor="text1"/>
    </w:rPr>
  </w:style>
  <w:style w:type="paragraph" w:styleId="IntenseQuote">
    <w:name w:val="Intense Quote"/>
    <w:basedOn w:val="Normal"/>
    <w:next w:val="Normal"/>
    <w:link w:val="IntenseQuoteChar"/>
    <w:uiPriority w:val="30"/>
    <w:qFormat/>
    <w:rsid w:val="002B1C9D"/>
    <w:pPr>
      <w:pBdr>
        <w:bottom w:val="single" w:sz="4" w:space="4" w:color="4472C4" w:themeColor="accent1"/>
      </w:pBdr>
      <w:spacing w:before="200" w:after="280"/>
      <w:ind w:left="936" w:right="936"/>
    </w:pPr>
    <w:rPr>
      <w:rFonts w:asciiTheme="minorHAnsi" w:hAnsiTheme="minorHAnsi"/>
      <w:b/>
      <w:bCs/>
      <w:i/>
      <w:iCs/>
      <w:color w:val="4472C4" w:themeColor="accent1"/>
      <w:sz w:val="22"/>
    </w:rPr>
  </w:style>
  <w:style w:type="character" w:customStyle="1" w:styleId="IntenseQuoteChar">
    <w:name w:val="Intense Quote Char"/>
    <w:basedOn w:val="DefaultParagraphFont"/>
    <w:link w:val="IntenseQuote"/>
    <w:uiPriority w:val="30"/>
    <w:rsid w:val="002B1C9D"/>
    <w:rPr>
      <w:b/>
      <w:bCs/>
      <w:i/>
      <w:iCs/>
      <w:color w:val="4472C4" w:themeColor="accent1"/>
    </w:rPr>
  </w:style>
  <w:style w:type="character" w:styleId="SubtleEmphasis">
    <w:name w:val="Subtle Emphasis"/>
    <w:basedOn w:val="DefaultParagraphFont"/>
    <w:uiPriority w:val="19"/>
    <w:qFormat/>
    <w:rsid w:val="002B1C9D"/>
    <w:rPr>
      <w:i/>
      <w:iCs/>
      <w:color w:val="808080" w:themeColor="text1" w:themeTint="7F"/>
    </w:rPr>
  </w:style>
  <w:style w:type="character" w:styleId="IntenseEmphasis">
    <w:name w:val="Intense Emphasis"/>
    <w:basedOn w:val="DefaultParagraphFont"/>
    <w:uiPriority w:val="21"/>
    <w:qFormat/>
    <w:rsid w:val="002B1C9D"/>
    <w:rPr>
      <w:b/>
      <w:bCs/>
      <w:i/>
      <w:iCs/>
      <w:color w:val="4472C4" w:themeColor="accent1"/>
    </w:rPr>
  </w:style>
  <w:style w:type="character" w:styleId="SubtleReference">
    <w:name w:val="Subtle Reference"/>
    <w:basedOn w:val="DefaultParagraphFont"/>
    <w:uiPriority w:val="31"/>
    <w:qFormat/>
    <w:rsid w:val="002B1C9D"/>
    <w:rPr>
      <w:smallCaps/>
      <w:color w:val="ED7D31" w:themeColor="accent2"/>
      <w:u w:val="single"/>
    </w:rPr>
  </w:style>
  <w:style w:type="character" w:styleId="IntenseReference">
    <w:name w:val="Intense Reference"/>
    <w:basedOn w:val="DefaultParagraphFont"/>
    <w:uiPriority w:val="32"/>
    <w:qFormat/>
    <w:rsid w:val="002B1C9D"/>
    <w:rPr>
      <w:b/>
      <w:bCs/>
      <w:smallCaps/>
      <w:color w:val="ED7D31" w:themeColor="accent2"/>
      <w:spacing w:val="5"/>
      <w:u w:val="single"/>
    </w:rPr>
  </w:style>
  <w:style w:type="character" w:styleId="BookTitle">
    <w:name w:val="Book Title"/>
    <w:basedOn w:val="DefaultParagraphFont"/>
    <w:uiPriority w:val="33"/>
    <w:qFormat/>
    <w:rsid w:val="002B1C9D"/>
    <w:rPr>
      <w:b/>
      <w:bCs/>
      <w:smallCaps/>
      <w:spacing w:val="5"/>
    </w:rPr>
  </w:style>
  <w:style w:type="paragraph" w:styleId="TOCHeading">
    <w:name w:val="TOC Heading"/>
    <w:basedOn w:val="Heading1"/>
    <w:next w:val="Normal"/>
    <w:uiPriority w:val="39"/>
    <w:semiHidden/>
    <w:unhideWhenUsed/>
    <w:qFormat/>
    <w:rsid w:val="002B1C9D"/>
    <w:pPr>
      <w:outlineLvl w:val="9"/>
    </w:pPr>
  </w:style>
  <w:style w:type="character" w:styleId="Hyperlink">
    <w:name w:val="Hyperlink"/>
    <w:basedOn w:val="DefaultParagraphFont"/>
    <w:uiPriority w:val="99"/>
    <w:unhideWhenUsed/>
    <w:rsid w:val="00741FAB"/>
    <w:rPr>
      <w:color w:val="0563C1" w:themeColor="hyperlink"/>
      <w:u w:val="single"/>
    </w:rPr>
  </w:style>
  <w:style w:type="character" w:styleId="CommentReference">
    <w:name w:val="annotation reference"/>
    <w:basedOn w:val="DefaultParagraphFont"/>
    <w:uiPriority w:val="99"/>
    <w:semiHidden/>
    <w:unhideWhenUsed/>
    <w:rsid w:val="00D53A84"/>
    <w:rPr>
      <w:sz w:val="16"/>
      <w:szCs w:val="16"/>
    </w:rPr>
  </w:style>
  <w:style w:type="paragraph" w:styleId="CommentText">
    <w:name w:val="annotation text"/>
    <w:basedOn w:val="Normal"/>
    <w:link w:val="CommentTextChar"/>
    <w:uiPriority w:val="99"/>
    <w:unhideWhenUsed/>
    <w:rsid w:val="00D53A84"/>
    <w:rPr>
      <w:sz w:val="20"/>
      <w:szCs w:val="20"/>
    </w:rPr>
  </w:style>
  <w:style w:type="character" w:customStyle="1" w:styleId="CommentTextChar">
    <w:name w:val="Comment Text Char"/>
    <w:basedOn w:val="DefaultParagraphFont"/>
    <w:link w:val="CommentText"/>
    <w:uiPriority w:val="99"/>
    <w:rsid w:val="00D53A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84"/>
    <w:rPr>
      <w:b/>
      <w:bCs/>
    </w:rPr>
  </w:style>
  <w:style w:type="character" w:customStyle="1" w:styleId="CommentSubjectChar">
    <w:name w:val="Comment Subject Char"/>
    <w:basedOn w:val="CommentTextChar"/>
    <w:link w:val="CommentSubject"/>
    <w:uiPriority w:val="99"/>
    <w:semiHidden/>
    <w:rsid w:val="00D53A84"/>
    <w:rPr>
      <w:rFonts w:ascii="Times New Roman" w:hAnsi="Times New Roman"/>
      <w:b/>
      <w:bCs/>
      <w:sz w:val="20"/>
      <w:szCs w:val="20"/>
    </w:rPr>
  </w:style>
  <w:style w:type="paragraph" w:styleId="BalloonText">
    <w:name w:val="Balloon Text"/>
    <w:basedOn w:val="Normal"/>
    <w:link w:val="BalloonTextChar"/>
    <w:uiPriority w:val="99"/>
    <w:semiHidden/>
    <w:unhideWhenUsed/>
    <w:rsid w:val="00D5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84"/>
    <w:rPr>
      <w:rFonts w:ascii="Segoe UI" w:hAnsi="Segoe UI" w:cs="Segoe UI"/>
      <w:sz w:val="18"/>
      <w:szCs w:val="18"/>
    </w:rPr>
  </w:style>
  <w:style w:type="character" w:styleId="FollowedHyperlink">
    <w:name w:val="FollowedHyperlink"/>
    <w:basedOn w:val="DefaultParagraphFont"/>
    <w:uiPriority w:val="99"/>
    <w:semiHidden/>
    <w:unhideWhenUsed/>
    <w:rsid w:val="00271BD3"/>
    <w:rPr>
      <w:color w:val="954F72" w:themeColor="followedHyperlink"/>
      <w:u w:val="single"/>
    </w:rPr>
  </w:style>
  <w:style w:type="character" w:styleId="UnresolvedMention">
    <w:name w:val="Unresolved Mention"/>
    <w:basedOn w:val="DefaultParagraphFont"/>
    <w:uiPriority w:val="99"/>
    <w:semiHidden/>
    <w:unhideWhenUsed/>
    <w:rsid w:val="00EE6C3E"/>
    <w:rPr>
      <w:color w:val="605E5C"/>
      <w:shd w:val="clear" w:color="auto" w:fill="E1DFDD"/>
    </w:rPr>
  </w:style>
  <w:style w:type="paragraph" w:styleId="Bibliography">
    <w:name w:val="Bibliography"/>
    <w:basedOn w:val="Normal"/>
    <w:next w:val="Normal"/>
    <w:uiPriority w:val="37"/>
    <w:unhideWhenUsed/>
    <w:rsid w:val="00EB5EA9"/>
    <w:pPr>
      <w:tabs>
        <w:tab w:val="left" w:pos="140"/>
        <w:tab w:val="left" w:pos="260"/>
        <w:tab w:val="left" w:pos="380"/>
      </w:tabs>
      <w:spacing w:after="240"/>
      <w:ind w:left="264" w:hanging="264"/>
    </w:pPr>
  </w:style>
  <w:style w:type="paragraph" w:styleId="Revision">
    <w:name w:val="Revision"/>
    <w:hidden/>
    <w:uiPriority w:val="99"/>
    <w:semiHidden/>
    <w:rsid w:val="007C509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05A0"/>
    <w:pPr>
      <w:tabs>
        <w:tab w:val="center" w:pos="4680"/>
        <w:tab w:val="right" w:pos="9360"/>
      </w:tabs>
    </w:pPr>
  </w:style>
  <w:style w:type="character" w:customStyle="1" w:styleId="HeaderChar">
    <w:name w:val="Header Char"/>
    <w:basedOn w:val="DefaultParagraphFont"/>
    <w:link w:val="Header"/>
    <w:uiPriority w:val="99"/>
    <w:rsid w:val="002505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05A0"/>
    <w:pPr>
      <w:tabs>
        <w:tab w:val="center" w:pos="4680"/>
        <w:tab w:val="right" w:pos="9360"/>
      </w:tabs>
    </w:pPr>
  </w:style>
  <w:style w:type="character" w:customStyle="1" w:styleId="FooterChar">
    <w:name w:val="Footer Char"/>
    <w:basedOn w:val="DefaultParagraphFont"/>
    <w:link w:val="Footer"/>
    <w:uiPriority w:val="99"/>
    <w:rsid w:val="002505A0"/>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D7F90"/>
    <w:pPr>
      <w:spacing w:before="100" w:beforeAutospacing="1" w:after="100" w:afterAutospacing="1"/>
    </w:pPr>
  </w:style>
  <w:style w:type="character" w:styleId="LineNumber">
    <w:name w:val="line number"/>
    <w:basedOn w:val="DefaultParagraphFont"/>
    <w:uiPriority w:val="99"/>
    <w:semiHidden/>
    <w:unhideWhenUsed/>
    <w:rsid w:val="00DD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655">
      <w:bodyDiv w:val="1"/>
      <w:marLeft w:val="0"/>
      <w:marRight w:val="0"/>
      <w:marTop w:val="0"/>
      <w:marBottom w:val="0"/>
      <w:divBdr>
        <w:top w:val="none" w:sz="0" w:space="0" w:color="auto"/>
        <w:left w:val="none" w:sz="0" w:space="0" w:color="auto"/>
        <w:bottom w:val="none" w:sz="0" w:space="0" w:color="auto"/>
        <w:right w:val="none" w:sz="0" w:space="0" w:color="auto"/>
      </w:divBdr>
    </w:div>
    <w:div w:id="50736579">
      <w:bodyDiv w:val="1"/>
      <w:marLeft w:val="0"/>
      <w:marRight w:val="0"/>
      <w:marTop w:val="0"/>
      <w:marBottom w:val="0"/>
      <w:divBdr>
        <w:top w:val="none" w:sz="0" w:space="0" w:color="auto"/>
        <w:left w:val="none" w:sz="0" w:space="0" w:color="auto"/>
        <w:bottom w:val="none" w:sz="0" w:space="0" w:color="auto"/>
        <w:right w:val="none" w:sz="0" w:space="0" w:color="auto"/>
      </w:divBdr>
    </w:div>
    <w:div w:id="62800845">
      <w:bodyDiv w:val="1"/>
      <w:marLeft w:val="0"/>
      <w:marRight w:val="0"/>
      <w:marTop w:val="0"/>
      <w:marBottom w:val="0"/>
      <w:divBdr>
        <w:top w:val="none" w:sz="0" w:space="0" w:color="auto"/>
        <w:left w:val="none" w:sz="0" w:space="0" w:color="auto"/>
        <w:bottom w:val="none" w:sz="0" w:space="0" w:color="auto"/>
        <w:right w:val="none" w:sz="0" w:space="0" w:color="auto"/>
      </w:divBdr>
    </w:div>
    <w:div w:id="230621917">
      <w:bodyDiv w:val="1"/>
      <w:marLeft w:val="0"/>
      <w:marRight w:val="0"/>
      <w:marTop w:val="0"/>
      <w:marBottom w:val="0"/>
      <w:divBdr>
        <w:top w:val="none" w:sz="0" w:space="0" w:color="auto"/>
        <w:left w:val="none" w:sz="0" w:space="0" w:color="auto"/>
        <w:bottom w:val="none" w:sz="0" w:space="0" w:color="auto"/>
        <w:right w:val="none" w:sz="0" w:space="0" w:color="auto"/>
      </w:divBdr>
    </w:div>
    <w:div w:id="264656818">
      <w:bodyDiv w:val="1"/>
      <w:marLeft w:val="0"/>
      <w:marRight w:val="0"/>
      <w:marTop w:val="0"/>
      <w:marBottom w:val="0"/>
      <w:divBdr>
        <w:top w:val="none" w:sz="0" w:space="0" w:color="auto"/>
        <w:left w:val="none" w:sz="0" w:space="0" w:color="auto"/>
        <w:bottom w:val="none" w:sz="0" w:space="0" w:color="auto"/>
        <w:right w:val="none" w:sz="0" w:space="0" w:color="auto"/>
      </w:divBdr>
    </w:div>
    <w:div w:id="330645537">
      <w:bodyDiv w:val="1"/>
      <w:marLeft w:val="0"/>
      <w:marRight w:val="0"/>
      <w:marTop w:val="0"/>
      <w:marBottom w:val="0"/>
      <w:divBdr>
        <w:top w:val="none" w:sz="0" w:space="0" w:color="auto"/>
        <w:left w:val="none" w:sz="0" w:space="0" w:color="auto"/>
        <w:bottom w:val="none" w:sz="0" w:space="0" w:color="auto"/>
        <w:right w:val="none" w:sz="0" w:space="0" w:color="auto"/>
      </w:divBdr>
      <w:divsChild>
        <w:div w:id="1181352463">
          <w:marLeft w:val="0"/>
          <w:marRight w:val="0"/>
          <w:marTop w:val="0"/>
          <w:marBottom w:val="0"/>
          <w:divBdr>
            <w:top w:val="none" w:sz="0" w:space="0" w:color="auto"/>
            <w:left w:val="none" w:sz="0" w:space="0" w:color="auto"/>
            <w:bottom w:val="none" w:sz="0" w:space="0" w:color="auto"/>
            <w:right w:val="none" w:sz="0" w:space="0" w:color="auto"/>
          </w:divBdr>
          <w:divsChild>
            <w:div w:id="829828598">
              <w:marLeft w:val="0"/>
              <w:marRight w:val="0"/>
              <w:marTop w:val="0"/>
              <w:marBottom w:val="0"/>
              <w:divBdr>
                <w:top w:val="none" w:sz="0" w:space="0" w:color="auto"/>
                <w:left w:val="none" w:sz="0" w:space="0" w:color="auto"/>
                <w:bottom w:val="none" w:sz="0" w:space="0" w:color="auto"/>
                <w:right w:val="none" w:sz="0" w:space="0" w:color="auto"/>
              </w:divBdr>
              <w:divsChild>
                <w:div w:id="825245381">
                  <w:marLeft w:val="0"/>
                  <w:marRight w:val="0"/>
                  <w:marTop w:val="0"/>
                  <w:marBottom w:val="0"/>
                  <w:divBdr>
                    <w:top w:val="none" w:sz="0" w:space="0" w:color="auto"/>
                    <w:left w:val="none" w:sz="0" w:space="0" w:color="auto"/>
                    <w:bottom w:val="none" w:sz="0" w:space="0" w:color="auto"/>
                    <w:right w:val="none" w:sz="0" w:space="0" w:color="auto"/>
                  </w:divBdr>
                  <w:divsChild>
                    <w:div w:id="13968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01379">
      <w:bodyDiv w:val="1"/>
      <w:marLeft w:val="0"/>
      <w:marRight w:val="0"/>
      <w:marTop w:val="0"/>
      <w:marBottom w:val="0"/>
      <w:divBdr>
        <w:top w:val="none" w:sz="0" w:space="0" w:color="auto"/>
        <w:left w:val="none" w:sz="0" w:space="0" w:color="auto"/>
        <w:bottom w:val="none" w:sz="0" w:space="0" w:color="auto"/>
        <w:right w:val="none" w:sz="0" w:space="0" w:color="auto"/>
      </w:divBdr>
    </w:div>
    <w:div w:id="372845866">
      <w:bodyDiv w:val="1"/>
      <w:marLeft w:val="0"/>
      <w:marRight w:val="0"/>
      <w:marTop w:val="0"/>
      <w:marBottom w:val="0"/>
      <w:divBdr>
        <w:top w:val="none" w:sz="0" w:space="0" w:color="auto"/>
        <w:left w:val="none" w:sz="0" w:space="0" w:color="auto"/>
        <w:bottom w:val="none" w:sz="0" w:space="0" w:color="auto"/>
        <w:right w:val="none" w:sz="0" w:space="0" w:color="auto"/>
      </w:divBdr>
    </w:div>
    <w:div w:id="549272950">
      <w:bodyDiv w:val="1"/>
      <w:marLeft w:val="0"/>
      <w:marRight w:val="0"/>
      <w:marTop w:val="0"/>
      <w:marBottom w:val="0"/>
      <w:divBdr>
        <w:top w:val="none" w:sz="0" w:space="0" w:color="auto"/>
        <w:left w:val="none" w:sz="0" w:space="0" w:color="auto"/>
        <w:bottom w:val="none" w:sz="0" w:space="0" w:color="auto"/>
        <w:right w:val="none" w:sz="0" w:space="0" w:color="auto"/>
      </w:divBdr>
    </w:div>
    <w:div w:id="682052882">
      <w:bodyDiv w:val="1"/>
      <w:marLeft w:val="0"/>
      <w:marRight w:val="0"/>
      <w:marTop w:val="0"/>
      <w:marBottom w:val="0"/>
      <w:divBdr>
        <w:top w:val="none" w:sz="0" w:space="0" w:color="auto"/>
        <w:left w:val="none" w:sz="0" w:space="0" w:color="auto"/>
        <w:bottom w:val="none" w:sz="0" w:space="0" w:color="auto"/>
        <w:right w:val="none" w:sz="0" w:space="0" w:color="auto"/>
      </w:divBdr>
    </w:div>
    <w:div w:id="723717798">
      <w:bodyDiv w:val="1"/>
      <w:marLeft w:val="0"/>
      <w:marRight w:val="0"/>
      <w:marTop w:val="0"/>
      <w:marBottom w:val="0"/>
      <w:divBdr>
        <w:top w:val="none" w:sz="0" w:space="0" w:color="auto"/>
        <w:left w:val="none" w:sz="0" w:space="0" w:color="auto"/>
        <w:bottom w:val="none" w:sz="0" w:space="0" w:color="auto"/>
        <w:right w:val="none" w:sz="0" w:space="0" w:color="auto"/>
      </w:divBdr>
    </w:div>
    <w:div w:id="729379613">
      <w:bodyDiv w:val="1"/>
      <w:marLeft w:val="0"/>
      <w:marRight w:val="0"/>
      <w:marTop w:val="0"/>
      <w:marBottom w:val="0"/>
      <w:divBdr>
        <w:top w:val="none" w:sz="0" w:space="0" w:color="auto"/>
        <w:left w:val="none" w:sz="0" w:space="0" w:color="auto"/>
        <w:bottom w:val="none" w:sz="0" w:space="0" w:color="auto"/>
        <w:right w:val="none" w:sz="0" w:space="0" w:color="auto"/>
      </w:divBdr>
    </w:div>
    <w:div w:id="747769867">
      <w:bodyDiv w:val="1"/>
      <w:marLeft w:val="0"/>
      <w:marRight w:val="0"/>
      <w:marTop w:val="0"/>
      <w:marBottom w:val="0"/>
      <w:divBdr>
        <w:top w:val="none" w:sz="0" w:space="0" w:color="auto"/>
        <w:left w:val="none" w:sz="0" w:space="0" w:color="auto"/>
        <w:bottom w:val="none" w:sz="0" w:space="0" w:color="auto"/>
        <w:right w:val="none" w:sz="0" w:space="0" w:color="auto"/>
      </w:divBdr>
    </w:div>
    <w:div w:id="748842773">
      <w:bodyDiv w:val="1"/>
      <w:marLeft w:val="0"/>
      <w:marRight w:val="0"/>
      <w:marTop w:val="0"/>
      <w:marBottom w:val="0"/>
      <w:divBdr>
        <w:top w:val="none" w:sz="0" w:space="0" w:color="auto"/>
        <w:left w:val="none" w:sz="0" w:space="0" w:color="auto"/>
        <w:bottom w:val="none" w:sz="0" w:space="0" w:color="auto"/>
        <w:right w:val="none" w:sz="0" w:space="0" w:color="auto"/>
      </w:divBdr>
    </w:div>
    <w:div w:id="767577762">
      <w:bodyDiv w:val="1"/>
      <w:marLeft w:val="0"/>
      <w:marRight w:val="0"/>
      <w:marTop w:val="0"/>
      <w:marBottom w:val="0"/>
      <w:divBdr>
        <w:top w:val="none" w:sz="0" w:space="0" w:color="auto"/>
        <w:left w:val="none" w:sz="0" w:space="0" w:color="auto"/>
        <w:bottom w:val="none" w:sz="0" w:space="0" w:color="auto"/>
        <w:right w:val="none" w:sz="0" w:space="0" w:color="auto"/>
      </w:divBdr>
    </w:div>
    <w:div w:id="772553576">
      <w:bodyDiv w:val="1"/>
      <w:marLeft w:val="0"/>
      <w:marRight w:val="0"/>
      <w:marTop w:val="0"/>
      <w:marBottom w:val="0"/>
      <w:divBdr>
        <w:top w:val="none" w:sz="0" w:space="0" w:color="auto"/>
        <w:left w:val="none" w:sz="0" w:space="0" w:color="auto"/>
        <w:bottom w:val="none" w:sz="0" w:space="0" w:color="auto"/>
        <w:right w:val="none" w:sz="0" w:space="0" w:color="auto"/>
      </w:divBdr>
    </w:div>
    <w:div w:id="823856830">
      <w:bodyDiv w:val="1"/>
      <w:marLeft w:val="0"/>
      <w:marRight w:val="0"/>
      <w:marTop w:val="0"/>
      <w:marBottom w:val="0"/>
      <w:divBdr>
        <w:top w:val="none" w:sz="0" w:space="0" w:color="auto"/>
        <w:left w:val="none" w:sz="0" w:space="0" w:color="auto"/>
        <w:bottom w:val="none" w:sz="0" w:space="0" w:color="auto"/>
        <w:right w:val="none" w:sz="0" w:space="0" w:color="auto"/>
      </w:divBdr>
    </w:div>
    <w:div w:id="829254543">
      <w:bodyDiv w:val="1"/>
      <w:marLeft w:val="0"/>
      <w:marRight w:val="0"/>
      <w:marTop w:val="0"/>
      <w:marBottom w:val="0"/>
      <w:divBdr>
        <w:top w:val="none" w:sz="0" w:space="0" w:color="auto"/>
        <w:left w:val="none" w:sz="0" w:space="0" w:color="auto"/>
        <w:bottom w:val="none" w:sz="0" w:space="0" w:color="auto"/>
        <w:right w:val="none" w:sz="0" w:space="0" w:color="auto"/>
      </w:divBdr>
    </w:div>
    <w:div w:id="870188074">
      <w:bodyDiv w:val="1"/>
      <w:marLeft w:val="0"/>
      <w:marRight w:val="0"/>
      <w:marTop w:val="0"/>
      <w:marBottom w:val="0"/>
      <w:divBdr>
        <w:top w:val="none" w:sz="0" w:space="0" w:color="auto"/>
        <w:left w:val="none" w:sz="0" w:space="0" w:color="auto"/>
        <w:bottom w:val="none" w:sz="0" w:space="0" w:color="auto"/>
        <w:right w:val="none" w:sz="0" w:space="0" w:color="auto"/>
      </w:divBdr>
    </w:div>
    <w:div w:id="882131833">
      <w:bodyDiv w:val="1"/>
      <w:marLeft w:val="0"/>
      <w:marRight w:val="0"/>
      <w:marTop w:val="0"/>
      <w:marBottom w:val="0"/>
      <w:divBdr>
        <w:top w:val="none" w:sz="0" w:space="0" w:color="auto"/>
        <w:left w:val="none" w:sz="0" w:space="0" w:color="auto"/>
        <w:bottom w:val="none" w:sz="0" w:space="0" w:color="auto"/>
        <w:right w:val="none" w:sz="0" w:space="0" w:color="auto"/>
      </w:divBdr>
    </w:div>
    <w:div w:id="957298391">
      <w:bodyDiv w:val="1"/>
      <w:marLeft w:val="0"/>
      <w:marRight w:val="0"/>
      <w:marTop w:val="0"/>
      <w:marBottom w:val="0"/>
      <w:divBdr>
        <w:top w:val="none" w:sz="0" w:space="0" w:color="auto"/>
        <w:left w:val="none" w:sz="0" w:space="0" w:color="auto"/>
        <w:bottom w:val="none" w:sz="0" w:space="0" w:color="auto"/>
        <w:right w:val="none" w:sz="0" w:space="0" w:color="auto"/>
      </w:divBdr>
    </w:div>
    <w:div w:id="1021593112">
      <w:bodyDiv w:val="1"/>
      <w:marLeft w:val="0"/>
      <w:marRight w:val="0"/>
      <w:marTop w:val="0"/>
      <w:marBottom w:val="0"/>
      <w:divBdr>
        <w:top w:val="none" w:sz="0" w:space="0" w:color="auto"/>
        <w:left w:val="none" w:sz="0" w:space="0" w:color="auto"/>
        <w:bottom w:val="none" w:sz="0" w:space="0" w:color="auto"/>
        <w:right w:val="none" w:sz="0" w:space="0" w:color="auto"/>
      </w:divBdr>
    </w:div>
    <w:div w:id="1023747852">
      <w:bodyDiv w:val="1"/>
      <w:marLeft w:val="0"/>
      <w:marRight w:val="0"/>
      <w:marTop w:val="0"/>
      <w:marBottom w:val="0"/>
      <w:divBdr>
        <w:top w:val="none" w:sz="0" w:space="0" w:color="auto"/>
        <w:left w:val="none" w:sz="0" w:space="0" w:color="auto"/>
        <w:bottom w:val="none" w:sz="0" w:space="0" w:color="auto"/>
        <w:right w:val="none" w:sz="0" w:space="0" w:color="auto"/>
      </w:divBdr>
    </w:div>
    <w:div w:id="1068916360">
      <w:bodyDiv w:val="1"/>
      <w:marLeft w:val="0"/>
      <w:marRight w:val="0"/>
      <w:marTop w:val="0"/>
      <w:marBottom w:val="0"/>
      <w:divBdr>
        <w:top w:val="none" w:sz="0" w:space="0" w:color="auto"/>
        <w:left w:val="none" w:sz="0" w:space="0" w:color="auto"/>
        <w:bottom w:val="none" w:sz="0" w:space="0" w:color="auto"/>
        <w:right w:val="none" w:sz="0" w:space="0" w:color="auto"/>
      </w:divBdr>
    </w:div>
    <w:div w:id="1128282428">
      <w:bodyDiv w:val="1"/>
      <w:marLeft w:val="0"/>
      <w:marRight w:val="0"/>
      <w:marTop w:val="0"/>
      <w:marBottom w:val="0"/>
      <w:divBdr>
        <w:top w:val="none" w:sz="0" w:space="0" w:color="auto"/>
        <w:left w:val="none" w:sz="0" w:space="0" w:color="auto"/>
        <w:bottom w:val="none" w:sz="0" w:space="0" w:color="auto"/>
        <w:right w:val="none" w:sz="0" w:space="0" w:color="auto"/>
      </w:divBdr>
    </w:div>
    <w:div w:id="1134104378">
      <w:bodyDiv w:val="1"/>
      <w:marLeft w:val="0"/>
      <w:marRight w:val="0"/>
      <w:marTop w:val="0"/>
      <w:marBottom w:val="0"/>
      <w:divBdr>
        <w:top w:val="none" w:sz="0" w:space="0" w:color="auto"/>
        <w:left w:val="none" w:sz="0" w:space="0" w:color="auto"/>
        <w:bottom w:val="none" w:sz="0" w:space="0" w:color="auto"/>
        <w:right w:val="none" w:sz="0" w:space="0" w:color="auto"/>
      </w:divBdr>
      <w:divsChild>
        <w:div w:id="1540240778">
          <w:marLeft w:val="0"/>
          <w:marRight w:val="0"/>
          <w:marTop w:val="0"/>
          <w:marBottom w:val="75"/>
          <w:divBdr>
            <w:top w:val="none" w:sz="0" w:space="0" w:color="auto"/>
            <w:left w:val="none" w:sz="0" w:space="0" w:color="auto"/>
            <w:bottom w:val="none" w:sz="0" w:space="0" w:color="auto"/>
            <w:right w:val="none" w:sz="0" w:space="0" w:color="auto"/>
          </w:divBdr>
        </w:div>
        <w:div w:id="160506109">
          <w:marLeft w:val="0"/>
          <w:marRight w:val="0"/>
          <w:marTop w:val="0"/>
          <w:marBottom w:val="0"/>
          <w:divBdr>
            <w:top w:val="none" w:sz="0" w:space="0" w:color="auto"/>
            <w:left w:val="none" w:sz="0" w:space="0" w:color="auto"/>
            <w:bottom w:val="none" w:sz="0" w:space="0" w:color="auto"/>
            <w:right w:val="none" w:sz="0" w:space="0" w:color="auto"/>
          </w:divBdr>
        </w:div>
        <w:div w:id="323050744">
          <w:marLeft w:val="0"/>
          <w:marRight w:val="0"/>
          <w:marTop w:val="0"/>
          <w:marBottom w:val="0"/>
          <w:divBdr>
            <w:top w:val="none" w:sz="0" w:space="0" w:color="auto"/>
            <w:left w:val="none" w:sz="0" w:space="0" w:color="auto"/>
            <w:bottom w:val="none" w:sz="0" w:space="0" w:color="auto"/>
            <w:right w:val="none" w:sz="0" w:space="0" w:color="auto"/>
          </w:divBdr>
        </w:div>
      </w:divsChild>
    </w:div>
    <w:div w:id="1187253077">
      <w:bodyDiv w:val="1"/>
      <w:marLeft w:val="0"/>
      <w:marRight w:val="0"/>
      <w:marTop w:val="0"/>
      <w:marBottom w:val="0"/>
      <w:divBdr>
        <w:top w:val="none" w:sz="0" w:space="0" w:color="auto"/>
        <w:left w:val="none" w:sz="0" w:space="0" w:color="auto"/>
        <w:bottom w:val="none" w:sz="0" w:space="0" w:color="auto"/>
        <w:right w:val="none" w:sz="0" w:space="0" w:color="auto"/>
      </w:divBdr>
    </w:div>
    <w:div w:id="1227572141">
      <w:bodyDiv w:val="1"/>
      <w:marLeft w:val="0"/>
      <w:marRight w:val="0"/>
      <w:marTop w:val="0"/>
      <w:marBottom w:val="0"/>
      <w:divBdr>
        <w:top w:val="none" w:sz="0" w:space="0" w:color="auto"/>
        <w:left w:val="none" w:sz="0" w:space="0" w:color="auto"/>
        <w:bottom w:val="none" w:sz="0" w:space="0" w:color="auto"/>
        <w:right w:val="none" w:sz="0" w:space="0" w:color="auto"/>
      </w:divBdr>
    </w:div>
    <w:div w:id="1245609335">
      <w:bodyDiv w:val="1"/>
      <w:marLeft w:val="0"/>
      <w:marRight w:val="0"/>
      <w:marTop w:val="0"/>
      <w:marBottom w:val="0"/>
      <w:divBdr>
        <w:top w:val="none" w:sz="0" w:space="0" w:color="auto"/>
        <w:left w:val="none" w:sz="0" w:space="0" w:color="auto"/>
        <w:bottom w:val="none" w:sz="0" w:space="0" w:color="auto"/>
        <w:right w:val="none" w:sz="0" w:space="0" w:color="auto"/>
      </w:divBdr>
    </w:div>
    <w:div w:id="1321228613">
      <w:bodyDiv w:val="1"/>
      <w:marLeft w:val="0"/>
      <w:marRight w:val="0"/>
      <w:marTop w:val="0"/>
      <w:marBottom w:val="0"/>
      <w:divBdr>
        <w:top w:val="none" w:sz="0" w:space="0" w:color="auto"/>
        <w:left w:val="none" w:sz="0" w:space="0" w:color="auto"/>
        <w:bottom w:val="none" w:sz="0" w:space="0" w:color="auto"/>
        <w:right w:val="none" w:sz="0" w:space="0" w:color="auto"/>
      </w:divBdr>
    </w:div>
    <w:div w:id="1394740878">
      <w:bodyDiv w:val="1"/>
      <w:marLeft w:val="0"/>
      <w:marRight w:val="0"/>
      <w:marTop w:val="0"/>
      <w:marBottom w:val="0"/>
      <w:divBdr>
        <w:top w:val="none" w:sz="0" w:space="0" w:color="auto"/>
        <w:left w:val="none" w:sz="0" w:space="0" w:color="auto"/>
        <w:bottom w:val="none" w:sz="0" w:space="0" w:color="auto"/>
        <w:right w:val="none" w:sz="0" w:space="0" w:color="auto"/>
      </w:divBdr>
    </w:div>
    <w:div w:id="1397125274">
      <w:bodyDiv w:val="1"/>
      <w:marLeft w:val="0"/>
      <w:marRight w:val="0"/>
      <w:marTop w:val="0"/>
      <w:marBottom w:val="0"/>
      <w:divBdr>
        <w:top w:val="none" w:sz="0" w:space="0" w:color="auto"/>
        <w:left w:val="none" w:sz="0" w:space="0" w:color="auto"/>
        <w:bottom w:val="none" w:sz="0" w:space="0" w:color="auto"/>
        <w:right w:val="none" w:sz="0" w:space="0" w:color="auto"/>
      </w:divBdr>
    </w:div>
    <w:div w:id="1421676190">
      <w:bodyDiv w:val="1"/>
      <w:marLeft w:val="0"/>
      <w:marRight w:val="0"/>
      <w:marTop w:val="0"/>
      <w:marBottom w:val="0"/>
      <w:divBdr>
        <w:top w:val="none" w:sz="0" w:space="0" w:color="auto"/>
        <w:left w:val="none" w:sz="0" w:space="0" w:color="auto"/>
        <w:bottom w:val="none" w:sz="0" w:space="0" w:color="auto"/>
        <w:right w:val="none" w:sz="0" w:space="0" w:color="auto"/>
      </w:divBdr>
    </w:div>
    <w:div w:id="1457985330">
      <w:bodyDiv w:val="1"/>
      <w:marLeft w:val="0"/>
      <w:marRight w:val="0"/>
      <w:marTop w:val="0"/>
      <w:marBottom w:val="0"/>
      <w:divBdr>
        <w:top w:val="none" w:sz="0" w:space="0" w:color="auto"/>
        <w:left w:val="none" w:sz="0" w:space="0" w:color="auto"/>
        <w:bottom w:val="none" w:sz="0" w:space="0" w:color="auto"/>
        <w:right w:val="none" w:sz="0" w:space="0" w:color="auto"/>
      </w:divBdr>
    </w:div>
    <w:div w:id="1502962452">
      <w:bodyDiv w:val="1"/>
      <w:marLeft w:val="0"/>
      <w:marRight w:val="0"/>
      <w:marTop w:val="0"/>
      <w:marBottom w:val="0"/>
      <w:divBdr>
        <w:top w:val="none" w:sz="0" w:space="0" w:color="auto"/>
        <w:left w:val="none" w:sz="0" w:space="0" w:color="auto"/>
        <w:bottom w:val="none" w:sz="0" w:space="0" w:color="auto"/>
        <w:right w:val="none" w:sz="0" w:space="0" w:color="auto"/>
      </w:divBdr>
    </w:div>
    <w:div w:id="1575583574">
      <w:bodyDiv w:val="1"/>
      <w:marLeft w:val="0"/>
      <w:marRight w:val="0"/>
      <w:marTop w:val="0"/>
      <w:marBottom w:val="0"/>
      <w:divBdr>
        <w:top w:val="none" w:sz="0" w:space="0" w:color="auto"/>
        <w:left w:val="none" w:sz="0" w:space="0" w:color="auto"/>
        <w:bottom w:val="none" w:sz="0" w:space="0" w:color="auto"/>
        <w:right w:val="none" w:sz="0" w:space="0" w:color="auto"/>
      </w:divBdr>
    </w:div>
    <w:div w:id="1623028464">
      <w:bodyDiv w:val="1"/>
      <w:marLeft w:val="0"/>
      <w:marRight w:val="0"/>
      <w:marTop w:val="0"/>
      <w:marBottom w:val="0"/>
      <w:divBdr>
        <w:top w:val="none" w:sz="0" w:space="0" w:color="auto"/>
        <w:left w:val="none" w:sz="0" w:space="0" w:color="auto"/>
        <w:bottom w:val="none" w:sz="0" w:space="0" w:color="auto"/>
        <w:right w:val="none" w:sz="0" w:space="0" w:color="auto"/>
      </w:divBdr>
    </w:div>
    <w:div w:id="1774519852">
      <w:bodyDiv w:val="1"/>
      <w:marLeft w:val="0"/>
      <w:marRight w:val="0"/>
      <w:marTop w:val="0"/>
      <w:marBottom w:val="0"/>
      <w:divBdr>
        <w:top w:val="none" w:sz="0" w:space="0" w:color="auto"/>
        <w:left w:val="none" w:sz="0" w:space="0" w:color="auto"/>
        <w:bottom w:val="none" w:sz="0" w:space="0" w:color="auto"/>
        <w:right w:val="none" w:sz="0" w:space="0" w:color="auto"/>
      </w:divBdr>
    </w:div>
    <w:div w:id="1942376021">
      <w:bodyDiv w:val="1"/>
      <w:marLeft w:val="0"/>
      <w:marRight w:val="0"/>
      <w:marTop w:val="0"/>
      <w:marBottom w:val="0"/>
      <w:divBdr>
        <w:top w:val="none" w:sz="0" w:space="0" w:color="auto"/>
        <w:left w:val="none" w:sz="0" w:space="0" w:color="auto"/>
        <w:bottom w:val="none" w:sz="0" w:space="0" w:color="auto"/>
        <w:right w:val="none" w:sz="0" w:space="0" w:color="auto"/>
      </w:divBdr>
    </w:div>
    <w:div w:id="2023705021">
      <w:bodyDiv w:val="1"/>
      <w:marLeft w:val="0"/>
      <w:marRight w:val="0"/>
      <w:marTop w:val="0"/>
      <w:marBottom w:val="0"/>
      <w:divBdr>
        <w:top w:val="none" w:sz="0" w:space="0" w:color="auto"/>
        <w:left w:val="none" w:sz="0" w:space="0" w:color="auto"/>
        <w:bottom w:val="none" w:sz="0" w:space="0" w:color="auto"/>
        <w:right w:val="none" w:sz="0" w:space="0" w:color="auto"/>
      </w:divBdr>
    </w:div>
    <w:div w:id="2032799156">
      <w:bodyDiv w:val="1"/>
      <w:marLeft w:val="0"/>
      <w:marRight w:val="0"/>
      <w:marTop w:val="0"/>
      <w:marBottom w:val="0"/>
      <w:divBdr>
        <w:top w:val="none" w:sz="0" w:space="0" w:color="auto"/>
        <w:left w:val="none" w:sz="0" w:space="0" w:color="auto"/>
        <w:bottom w:val="none" w:sz="0" w:space="0" w:color="auto"/>
        <w:right w:val="none" w:sz="0" w:space="0" w:color="auto"/>
      </w:divBdr>
    </w:div>
    <w:div w:id="2062942902">
      <w:bodyDiv w:val="1"/>
      <w:marLeft w:val="0"/>
      <w:marRight w:val="0"/>
      <w:marTop w:val="0"/>
      <w:marBottom w:val="0"/>
      <w:divBdr>
        <w:top w:val="none" w:sz="0" w:space="0" w:color="auto"/>
        <w:left w:val="none" w:sz="0" w:space="0" w:color="auto"/>
        <w:bottom w:val="none" w:sz="0" w:space="0" w:color="auto"/>
        <w:right w:val="none" w:sz="0" w:space="0" w:color="auto"/>
      </w:divBdr>
    </w:div>
    <w:div w:id="2083018792">
      <w:bodyDiv w:val="1"/>
      <w:marLeft w:val="0"/>
      <w:marRight w:val="0"/>
      <w:marTop w:val="0"/>
      <w:marBottom w:val="0"/>
      <w:divBdr>
        <w:top w:val="none" w:sz="0" w:space="0" w:color="auto"/>
        <w:left w:val="none" w:sz="0" w:space="0" w:color="auto"/>
        <w:bottom w:val="none" w:sz="0" w:space="0" w:color="auto"/>
        <w:right w:val="none" w:sz="0" w:space="0" w:color="auto"/>
      </w:divBdr>
    </w:div>
    <w:div w:id="2095546179">
      <w:bodyDiv w:val="1"/>
      <w:marLeft w:val="0"/>
      <w:marRight w:val="0"/>
      <w:marTop w:val="0"/>
      <w:marBottom w:val="0"/>
      <w:divBdr>
        <w:top w:val="none" w:sz="0" w:space="0" w:color="auto"/>
        <w:left w:val="none" w:sz="0" w:space="0" w:color="auto"/>
        <w:bottom w:val="none" w:sz="0" w:space="0" w:color="auto"/>
        <w:right w:val="none" w:sz="0" w:space="0" w:color="auto"/>
      </w:divBdr>
    </w:div>
    <w:div w:id="2101099080">
      <w:bodyDiv w:val="1"/>
      <w:marLeft w:val="0"/>
      <w:marRight w:val="0"/>
      <w:marTop w:val="0"/>
      <w:marBottom w:val="0"/>
      <w:divBdr>
        <w:top w:val="none" w:sz="0" w:space="0" w:color="auto"/>
        <w:left w:val="none" w:sz="0" w:space="0" w:color="auto"/>
        <w:bottom w:val="none" w:sz="0" w:space="0" w:color="auto"/>
        <w:right w:val="none" w:sz="0" w:space="0" w:color="auto"/>
      </w:divBdr>
    </w:div>
    <w:div w:id="21370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naik@ucs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2E23-1F45-F64D-B123-2725AF2E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6846</Words>
  <Characters>39027</Characters>
  <Application>Microsoft Office Word</Application>
  <DocSecurity>0</DocSecurity>
  <Lines>325</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John Ingram</cp:lastModifiedBy>
  <cp:revision>2</cp:revision>
  <dcterms:created xsi:type="dcterms:W3CDTF">2023-01-04T09:55:00Z</dcterms:created>
  <dcterms:modified xsi:type="dcterms:W3CDTF">2023-01-04T09:55:00Z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id="cx4mhKYF"/&gt;&lt;style id="http://www.zotero.org/styles/dermatology"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ies>
</file>