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72D7D" w14:textId="7FB99533" w:rsidR="00CC7E07" w:rsidRDefault="00F01D61" w:rsidP="00E72458">
      <w:pPr>
        <w:spacing w:line="360" w:lineRule="auto"/>
        <w:jc w:val="center"/>
        <w:rPr>
          <w:rFonts w:ascii="Garamond" w:hAnsi="Garamond"/>
          <w:b/>
          <w:bCs/>
        </w:rPr>
      </w:pPr>
      <w:r>
        <w:rPr>
          <w:rFonts w:ascii="Garamond" w:hAnsi="Garamond"/>
          <w:b/>
          <w:bCs/>
        </w:rPr>
        <w:t>Futurescapes of Planning Law</w:t>
      </w:r>
      <w:r w:rsidR="0066527E">
        <w:rPr>
          <w:rFonts w:ascii="Garamond" w:hAnsi="Garamond"/>
          <w:b/>
          <w:bCs/>
        </w:rPr>
        <w:t xml:space="preserve">: </w:t>
      </w:r>
      <w:r w:rsidR="00B4194A">
        <w:rPr>
          <w:rFonts w:ascii="Garamond" w:hAnsi="Garamond"/>
          <w:b/>
          <w:bCs/>
        </w:rPr>
        <w:t>Some Preliminary Thoughts on</w:t>
      </w:r>
      <w:r w:rsidR="00F80A12">
        <w:rPr>
          <w:rFonts w:ascii="Garamond" w:hAnsi="Garamond"/>
          <w:b/>
          <w:bCs/>
        </w:rPr>
        <w:t xml:space="preserve"> a Timely Encounter</w:t>
      </w:r>
    </w:p>
    <w:p w14:paraId="0AB89876" w14:textId="66BD8BA8" w:rsidR="00CC7E07" w:rsidRPr="00A24DE7" w:rsidRDefault="00CC7E07" w:rsidP="00E72458">
      <w:pPr>
        <w:spacing w:line="360" w:lineRule="auto"/>
        <w:rPr>
          <w:rFonts w:ascii="Garamond" w:hAnsi="Garamond"/>
        </w:rPr>
      </w:pPr>
    </w:p>
    <w:p w14:paraId="5A47D9AD" w14:textId="11B79D67" w:rsidR="002B1F7B" w:rsidRDefault="00CC7E07" w:rsidP="002B1F7B">
      <w:pPr>
        <w:spacing w:line="360" w:lineRule="auto"/>
        <w:ind w:left="567" w:right="567"/>
        <w:rPr>
          <w:rFonts w:ascii="Garamond" w:hAnsi="Garamond"/>
          <w:sz w:val="20"/>
          <w:szCs w:val="20"/>
        </w:rPr>
      </w:pPr>
      <w:r w:rsidRPr="00A24DE7">
        <w:rPr>
          <w:rFonts w:ascii="Garamond" w:hAnsi="Garamond"/>
          <w:sz w:val="20"/>
          <w:szCs w:val="20"/>
        </w:rPr>
        <w:t xml:space="preserve">The </w:t>
      </w:r>
      <w:r w:rsidR="00566E9F" w:rsidRPr="00A24DE7">
        <w:rPr>
          <w:rFonts w:ascii="Garamond" w:hAnsi="Garamond"/>
          <w:sz w:val="20"/>
          <w:szCs w:val="20"/>
        </w:rPr>
        <w:t>concept</w:t>
      </w:r>
      <w:r w:rsidRPr="00A24DE7">
        <w:rPr>
          <w:rFonts w:ascii="Garamond" w:hAnsi="Garamond"/>
          <w:sz w:val="20"/>
          <w:szCs w:val="20"/>
        </w:rPr>
        <w:t xml:space="preserve"> of the future has been </w:t>
      </w:r>
      <w:r w:rsidR="00566E9F" w:rsidRPr="00A24DE7">
        <w:rPr>
          <w:rFonts w:ascii="Garamond" w:hAnsi="Garamond"/>
          <w:sz w:val="20"/>
          <w:szCs w:val="20"/>
        </w:rPr>
        <w:t xml:space="preserve">studied </w:t>
      </w:r>
      <w:r w:rsidR="004D131C" w:rsidRPr="00A24DE7">
        <w:rPr>
          <w:rFonts w:ascii="Garamond" w:hAnsi="Garamond"/>
          <w:sz w:val="20"/>
          <w:szCs w:val="20"/>
        </w:rPr>
        <w:t>in many different</w:t>
      </w:r>
      <w:r w:rsidR="00566E9F" w:rsidRPr="00A24DE7">
        <w:rPr>
          <w:rFonts w:ascii="Garamond" w:hAnsi="Garamond"/>
          <w:sz w:val="20"/>
          <w:szCs w:val="20"/>
        </w:rPr>
        <w:t xml:space="preserve"> </w:t>
      </w:r>
      <w:r w:rsidR="004D131C" w:rsidRPr="00A24DE7">
        <w:rPr>
          <w:rFonts w:ascii="Garamond" w:hAnsi="Garamond"/>
          <w:sz w:val="20"/>
          <w:szCs w:val="20"/>
        </w:rPr>
        <w:t>disciplines</w:t>
      </w:r>
      <w:r w:rsidR="00566E9F" w:rsidRPr="00A24DE7">
        <w:rPr>
          <w:rFonts w:ascii="Garamond" w:hAnsi="Garamond"/>
          <w:sz w:val="20"/>
          <w:szCs w:val="20"/>
        </w:rPr>
        <w:t xml:space="preserve"> but</w:t>
      </w:r>
      <w:r w:rsidR="00442871">
        <w:rPr>
          <w:rFonts w:ascii="Garamond" w:hAnsi="Garamond"/>
          <w:sz w:val="20"/>
          <w:szCs w:val="20"/>
        </w:rPr>
        <w:t xml:space="preserve"> </w:t>
      </w:r>
      <w:r w:rsidR="002B1D99" w:rsidRPr="00A24DE7">
        <w:rPr>
          <w:rFonts w:ascii="Garamond" w:hAnsi="Garamond"/>
          <w:sz w:val="20"/>
          <w:szCs w:val="20"/>
        </w:rPr>
        <w:t xml:space="preserve">has </w:t>
      </w:r>
      <w:r w:rsidR="00442871">
        <w:rPr>
          <w:rFonts w:ascii="Garamond" w:hAnsi="Garamond"/>
          <w:sz w:val="20"/>
          <w:szCs w:val="20"/>
        </w:rPr>
        <w:t xml:space="preserve">not received </w:t>
      </w:r>
      <w:r w:rsidR="00734AEC">
        <w:rPr>
          <w:rFonts w:ascii="Garamond" w:hAnsi="Garamond"/>
          <w:sz w:val="20"/>
          <w:szCs w:val="20"/>
        </w:rPr>
        <w:t>the same detailed</w:t>
      </w:r>
      <w:r w:rsidR="00442871">
        <w:rPr>
          <w:rFonts w:ascii="Garamond" w:hAnsi="Garamond"/>
          <w:sz w:val="20"/>
          <w:szCs w:val="20"/>
        </w:rPr>
        <w:t xml:space="preserve"> attention </w:t>
      </w:r>
      <w:r w:rsidR="002B1D99" w:rsidRPr="00A24DE7">
        <w:rPr>
          <w:rFonts w:ascii="Garamond" w:hAnsi="Garamond"/>
          <w:sz w:val="20"/>
          <w:szCs w:val="20"/>
        </w:rPr>
        <w:t xml:space="preserve">in legal scholarship.  This is especially curious in a field like planning law, which </w:t>
      </w:r>
      <w:r w:rsidR="00447820" w:rsidRPr="00A24DE7">
        <w:rPr>
          <w:rFonts w:ascii="Garamond" w:hAnsi="Garamond"/>
          <w:sz w:val="20"/>
          <w:szCs w:val="20"/>
        </w:rPr>
        <w:t>has a strong and obvious future-orientation.  My aim here is to</w:t>
      </w:r>
      <w:r w:rsidR="00397C7E">
        <w:rPr>
          <w:rFonts w:ascii="Garamond" w:hAnsi="Garamond"/>
          <w:sz w:val="20"/>
          <w:szCs w:val="20"/>
        </w:rPr>
        <w:t xml:space="preserve"> make a case for treating </w:t>
      </w:r>
      <w:r w:rsidR="005336E6" w:rsidRPr="00A24DE7">
        <w:rPr>
          <w:rFonts w:ascii="Garamond" w:hAnsi="Garamond"/>
          <w:sz w:val="20"/>
          <w:szCs w:val="20"/>
        </w:rPr>
        <w:t>planning law</w:t>
      </w:r>
      <w:r w:rsidR="00397C7E">
        <w:rPr>
          <w:rFonts w:ascii="Garamond" w:hAnsi="Garamond"/>
          <w:sz w:val="20"/>
          <w:szCs w:val="20"/>
        </w:rPr>
        <w:t xml:space="preserve"> </w:t>
      </w:r>
      <w:r w:rsidR="0004287C">
        <w:rPr>
          <w:rFonts w:ascii="Garamond" w:hAnsi="Garamond"/>
          <w:sz w:val="20"/>
          <w:szCs w:val="20"/>
        </w:rPr>
        <w:t xml:space="preserve">more </w:t>
      </w:r>
      <w:r w:rsidR="005336E6" w:rsidRPr="00A24DE7">
        <w:rPr>
          <w:rFonts w:ascii="Garamond" w:hAnsi="Garamond"/>
          <w:sz w:val="20"/>
          <w:szCs w:val="20"/>
        </w:rPr>
        <w:t>seriously as an important</w:t>
      </w:r>
      <w:r w:rsidR="00397C7E">
        <w:rPr>
          <w:rFonts w:ascii="Garamond" w:hAnsi="Garamond"/>
          <w:sz w:val="20"/>
          <w:szCs w:val="20"/>
        </w:rPr>
        <w:t xml:space="preserve"> </w:t>
      </w:r>
      <w:r w:rsidR="005336E6" w:rsidRPr="00A24DE7">
        <w:rPr>
          <w:rFonts w:ascii="Garamond" w:hAnsi="Garamond"/>
          <w:sz w:val="20"/>
          <w:szCs w:val="20"/>
        </w:rPr>
        <w:t xml:space="preserve">site of future-making, and to </w:t>
      </w:r>
      <w:r w:rsidR="005752A9" w:rsidRPr="00A24DE7">
        <w:rPr>
          <w:rFonts w:ascii="Garamond" w:hAnsi="Garamond"/>
          <w:sz w:val="20"/>
          <w:szCs w:val="20"/>
        </w:rPr>
        <w:t>encourage</w:t>
      </w:r>
      <w:r w:rsidR="005336E6" w:rsidRPr="00A24DE7">
        <w:rPr>
          <w:rFonts w:ascii="Garamond" w:hAnsi="Garamond"/>
          <w:sz w:val="20"/>
          <w:szCs w:val="20"/>
        </w:rPr>
        <w:t xml:space="preserve"> more systematic thinking about the role of law </w:t>
      </w:r>
      <w:r w:rsidR="005752A9" w:rsidRPr="00A24DE7">
        <w:rPr>
          <w:rFonts w:ascii="Garamond" w:hAnsi="Garamond"/>
          <w:sz w:val="20"/>
          <w:szCs w:val="20"/>
        </w:rPr>
        <w:t xml:space="preserve">in determining how the future is </w:t>
      </w:r>
      <w:r w:rsidR="00D8145F">
        <w:rPr>
          <w:rFonts w:ascii="Garamond" w:hAnsi="Garamond"/>
          <w:sz w:val="20"/>
          <w:szCs w:val="20"/>
        </w:rPr>
        <w:t>engaged</w:t>
      </w:r>
      <w:r w:rsidR="005752A9" w:rsidRPr="00A24DE7">
        <w:rPr>
          <w:rFonts w:ascii="Garamond" w:hAnsi="Garamond"/>
          <w:sz w:val="20"/>
          <w:szCs w:val="20"/>
        </w:rPr>
        <w:t xml:space="preserve"> in the present.</w:t>
      </w:r>
      <w:r w:rsidR="00F01D61">
        <w:rPr>
          <w:rFonts w:ascii="Garamond" w:hAnsi="Garamond"/>
          <w:sz w:val="20"/>
          <w:szCs w:val="20"/>
        </w:rPr>
        <w:t xml:space="preserve">  </w:t>
      </w:r>
      <w:r w:rsidR="00397C7E">
        <w:rPr>
          <w:rFonts w:ascii="Garamond" w:hAnsi="Garamond"/>
          <w:sz w:val="20"/>
          <w:szCs w:val="20"/>
        </w:rPr>
        <w:t xml:space="preserve">One way of </w:t>
      </w:r>
      <w:r w:rsidR="005B12D2">
        <w:rPr>
          <w:rFonts w:ascii="Garamond" w:hAnsi="Garamond"/>
          <w:sz w:val="20"/>
          <w:szCs w:val="20"/>
        </w:rPr>
        <w:t>achieving</w:t>
      </w:r>
      <w:r w:rsidR="002B1F7B">
        <w:rPr>
          <w:rFonts w:ascii="Garamond" w:hAnsi="Garamond"/>
          <w:sz w:val="20"/>
          <w:szCs w:val="20"/>
        </w:rPr>
        <w:t xml:space="preserve"> this is </w:t>
      </w:r>
      <w:r w:rsidR="005B12D2">
        <w:rPr>
          <w:rFonts w:ascii="Garamond" w:hAnsi="Garamond"/>
          <w:sz w:val="20"/>
          <w:szCs w:val="20"/>
        </w:rPr>
        <w:t>by</w:t>
      </w:r>
      <w:r w:rsidR="002B1F7B">
        <w:rPr>
          <w:rFonts w:ascii="Garamond" w:hAnsi="Garamond"/>
          <w:sz w:val="20"/>
          <w:szCs w:val="20"/>
        </w:rPr>
        <w:t xml:space="preserve"> introduc</w:t>
      </w:r>
      <w:r w:rsidR="005B12D2">
        <w:rPr>
          <w:rFonts w:ascii="Garamond" w:hAnsi="Garamond"/>
          <w:sz w:val="20"/>
          <w:szCs w:val="20"/>
        </w:rPr>
        <w:t>ing</w:t>
      </w:r>
      <w:r w:rsidR="002B1F7B">
        <w:rPr>
          <w:rFonts w:ascii="Garamond" w:hAnsi="Garamond"/>
          <w:sz w:val="20"/>
          <w:szCs w:val="20"/>
        </w:rPr>
        <w:t xml:space="preserve"> </w:t>
      </w:r>
      <w:r w:rsidR="00F01D61">
        <w:rPr>
          <w:rFonts w:ascii="Garamond" w:hAnsi="Garamond"/>
          <w:sz w:val="20"/>
          <w:szCs w:val="20"/>
        </w:rPr>
        <w:t>a ‘futurescapes’ perspective to legal analysis</w:t>
      </w:r>
      <w:r w:rsidR="002B1F7B">
        <w:rPr>
          <w:rFonts w:ascii="Garamond" w:hAnsi="Garamond"/>
          <w:sz w:val="20"/>
          <w:szCs w:val="20"/>
        </w:rPr>
        <w:t>,</w:t>
      </w:r>
      <w:r w:rsidR="00371B10">
        <w:rPr>
          <w:rFonts w:ascii="Garamond" w:hAnsi="Garamond"/>
          <w:sz w:val="20"/>
          <w:szCs w:val="20"/>
        </w:rPr>
        <w:t xml:space="preserve"> </w:t>
      </w:r>
      <w:r w:rsidR="002B1F7B">
        <w:rPr>
          <w:rFonts w:ascii="Garamond" w:hAnsi="Garamond"/>
          <w:sz w:val="20"/>
          <w:szCs w:val="20"/>
        </w:rPr>
        <w:t>to</w:t>
      </w:r>
      <w:r w:rsidR="00F01D61">
        <w:rPr>
          <w:rFonts w:ascii="Garamond" w:hAnsi="Garamond"/>
          <w:sz w:val="20"/>
          <w:szCs w:val="20"/>
        </w:rPr>
        <w:t xml:space="preserve"> capture</w:t>
      </w:r>
      <w:r w:rsidR="002B1F7B">
        <w:rPr>
          <w:rFonts w:ascii="Garamond" w:hAnsi="Garamond"/>
          <w:sz w:val="20"/>
          <w:szCs w:val="20"/>
        </w:rPr>
        <w:t xml:space="preserve"> </w:t>
      </w:r>
      <w:r w:rsidR="005B12D2">
        <w:rPr>
          <w:rFonts w:ascii="Garamond" w:hAnsi="Garamond"/>
          <w:sz w:val="20"/>
          <w:szCs w:val="20"/>
        </w:rPr>
        <w:t xml:space="preserve">the </w:t>
      </w:r>
      <w:r w:rsidR="001C0ED2">
        <w:rPr>
          <w:rFonts w:ascii="Garamond" w:hAnsi="Garamond"/>
          <w:sz w:val="20"/>
          <w:szCs w:val="20"/>
        </w:rPr>
        <w:t xml:space="preserve">different </w:t>
      </w:r>
      <w:r w:rsidR="008E176D">
        <w:rPr>
          <w:rFonts w:ascii="Garamond" w:hAnsi="Garamond"/>
          <w:sz w:val="20"/>
          <w:szCs w:val="20"/>
        </w:rPr>
        <w:t>temporal features</w:t>
      </w:r>
      <w:r w:rsidR="002C70EB">
        <w:rPr>
          <w:rFonts w:ascii="Garamond" w:hAnsi="Garamond"/>
          <w:sz w:val="20"/>
          <w:szCs w:val="20"/>
        </w:rPr>
        <w:t xml:space="preserve"> of law</w:t>
      </w:r>
      <w:r w:rsidR="001C0ED2">
        <w:rPr>
          <w:rFonts w:ascii="Garamond" w:hAnsi="Garamond"/>
          <w:sz w:val="20"/>
          <w:szCs w:val="20"/>
        </w:rPr>
        <w:t xml:space="preserve"> </w:t>
      </w:r>
      <w:r w:rsidR="002B1F7B">
        <w:rPr>
          <w:rFonts w:ascii="Garamond" w:hAnsi="Garamond"/>
          <w:sz w:val="20"/>
          <w:szCs w:val="20"/>
        </w:rPr>
        <w:t xml:space="preserve">that </w:t>
      </w:r>
      <w:r w:rsidR="002C70EB">
        <w:rPr>
          <w:rFonts w:ascii="Garamond" w:hAnsi="Garamond"/>
          <w:sz w:val="20"/>
          <w:szCs w:val="20"/>
        </w:rPr>
        <w:t xml:space="preserve">shape how the future </w:t>
      </w:r>
      <w:r w:rsidR="0024477D">
        <w:rPr>
          <w:rFonts w:ascii="Garamond" w:hAnsi="Garamond"/>
          <w:sz w:val="20"/>
          <w:szCs w:val="20"/>
        </w:rPr>
        <w:t>come</w:t>
      </w:r>
      <w:r w:rsidR="005B12D2">
        <w:rPr>
          <w:rFonts w:ascii="Garamond" w:hAnsi="Garamond"/>
          <w:sz w:val="20"/>
          <w:szCs w:val="20"/>
        </w:rPr>
        <w:t>s</w:t>
      </w:r>
      <w:r w:rsidR="0024477D">
        <w:rPr>
          <w:rFonts w:ascii="Garamond" w:hAnsi="Garamond"/>
          <w:sz w:val="20"/>
          <w:szCs w:val="20"/>
        </w:rPr>
        <w:t xml:space="preserve"> to be</w:t>
      </w:r>
      <w:r w:rsidR="002C70EB">
        <w:rPr>
          <w:rFonts w:ascii="Garamond" w:hAnsi="Garamond"/>
          <w:sz w:val="20"/>
          <w:szCs w:val="20"/>
        </w:rPr>
        <w:t xml:space="preserve"> understood</w:t>
      </w:r>
      <w:r w:rsidR="001C0ED2">
        <w:rPr>
          <w:rFonts w:ascii="Garamond" w:hAnsi="Garamond"/>
          <w:sz w:val="20"/>
          <w:szCs w:val="20"/>
        </w:rPr>
        <w:t xml:space="preserve">, legitimated and </w:t>
      </w:r>
      <w:r w:rsidR="0024477D">
        <w:rPr>
          <w:rFonts w:ascii="Garamond" w:hAnsi="Garamond"/>
          <w:sz w:val="20"/>
          <w:szCs w:val="20"/>
        </w:rPr>
        <w:t>acted upon</w:t>
      </w:r>
      <w:r w:rsidR="001C0ED2">
        <w:rPr>
          <w:rFonts w:ascii="Garamond" w:hAnsi="Garamond"/>
          <w:sz w:val="20"/>
          <w:szCs w:val="20"/>
        </w:rPr>
        <w:t>.</w:t>
      </w:r>
      <w:r w:rsidR="005B12D2">
        <w:rPr>
          <w:rFonts w:ascii="Garamond" w:hAnsi="Garamond"/>
          <w:sz w:val="20"/>
          <w:szCs w:val="20"/>
        </w:rPr>
        <w:t xml:space="preserve">  </w:t>
      </w:r>
      <w:r w:rsidR="000C4EBF">
        <w:rPr>
          <w:rFonts w:ascii="Garamond" w:hAnsi="Garamond"/>
          <w:sz w:val="20"/>
          <w:szCs w:val="20"/>
        </w:rPr>
        <w:t xml:space="preserve">Forging those links helps to </w:t>
      </w:r>
      <w:r w:rsidR="00680024">
        <w:rPr>
          <w:rFonts w:ascii="Garamond" w:hAnsi="Garamond"/>
          <w:sz w:val="20"/>
          <w:szCs w:val="20"/>
        </w:rPr>
        <w:t>address the future not as a backdrop to law</w:t>
      </w:r>
      <w:r w:rsidR="00442871">
        <w:rPr>
          <w:rFonts w:ascii="Garamond" w:hAnsi="Garamond"/>
          <w:sz w:val="20"/>
          <w:szCs w:val="20"/>
        </w:rPr>
        <w:t xml:space="preserve"> </w:t>
      </w:r>
      <w:r w:rsidR="00680024">
        <w:rPr>
          <w:rFonts w:ascii="Garamond" w:hAnsi="Garamond"/>
          <w:sz w:val="20"/>
          <w:szCs w:val="20"/>
        </w:rPr>
        <w:t xml:space="preserve">but </w:t>
      </w:r>
      <w:r w:rsidR="00D05BE8">
        <w:rPr>
          <w:rFonts w:ascii="Garamond" w:hAnsi="Garamond"/>
          <w:sz w:val="20"/>
          <w:szCs w:val="20"/>
        </w:rPr>
        <w:t xml:space="preserve">as </w:t>
      </w:r>
      <w:r w:rsidR="00680024">
        <w:rPr>
          <w:rFonts w:ascii="Garamond" w:hAnsi="Garamond"/>
          <w:sz w:val="20"/>
          <w:szCs w:val="20"/>
        </w:rPr>
        <w:t xml:space="preserve">a key means through which law operates.  The </w:t>
      </w:r>
      <w:r w:rsidR="00D05BE8">
        <w:rPr>
          <w:rFonts w:ascii="Garamond" w:hAnsi="Garamond"/>
          <w:sz w:val="20"/>
          <w:szCs w:val="20"/>
        </w:rPr>
        <w:t xml:space="preserve">discussion </w:t>
      </w:r>
      <w:r w:rsidR="00442871">
        <w:rPr>
          <w:rFonts w:ascii="Garamond" w:hAnsi="Garamond"/>
          <w:sz w:val="20"/>
          <w:szCs w:val="20"/>
        </w:rPr>
        <w:t>illustrates</w:t>
      </w:r>
      <w:r w:rsidR="009D5E61">
        <w:rPr>
          <w:rFonts w:ascii="Garamond" w:hAnsi="Garamond"/>
          <w:sz w:val="20"/>
          <w:szCs w:val="20"/>
        </w:rPr>
        <w:t xml:space="preserve"> the kinds of questions that </w:t>
      </w:r>
      <w:r w:rsidR="00442871">
        <w:rPr>
          <w:rFonts w:ascii="Garamond" w:hAnsi="Garamond"/>
          <w:sz w:val="20"/>
          <w:szCs w:val="20"/>
        </w:rPr>
        <w:t>might</w:t>
      </w:r>
      <w:r w:rsidR="009D5E61">
        <w:rPr>
          <w:rFonts w:ascii="Garamond" w:hAnsi="Garamond"/>
          <w:sz w:val="20"/>
          <w:szCs w:val="20"/>
        </w:rPr>
        <w:t xml:space="preserve"> usefully be </w:t>
      </w:r>
      <w:r w:rsidR="00A459B4">
        <w:rPr>
          <w:rFonts w:ascii="Garamond" w:hAnsi="Garamond"/>
          <w:sz w:val="20"/>
          <w:szCs w:val="20"/>
        </w:rPr>
        <w:t>asked</w:t>
      </w:r>
      <w:r w:rsidR="009D5E61">
        <w:rPr>
          <w:rFonts w:ascii="Garamond" w:hAnsi="Garamond"/>
          <w:sz w:val="20"/>
          <w:szCs w:val="20"/>
        </w:rPr>
        <w:t xml:space="preserve"> about how </w:t>
      </w:r>
      <w:r w:rsidR="00A459B4">
        <w:rPr>
          <w:rFonts w:ascii="Garamond" w:hAnsi="Garamond"/>
          <w:sz w:val="20"/>
          <w:szCs w:val="20"/>
        </w:rPr>
        <w:t>law</w:t>
      </w:r>
      <w:r w:rsidR="00442871">
        <w:rPr>
          <w:rFonts w:ascii="Garamond" w:hAnsi="Garamond"/>
          <w:sz w:val="20"/>
          <w:szCs w:val="20"/>
        </w:rPr>
        <w:t xml:space="preserve"> </w:t>
      </w:r>
      <w:r w:rsidR="00414F25">
        <w:rPr>
          <w:rFonts w:ascii="Garamond" w:hAnsi="Garamond"/>
          <w:sz w:val="20"/>
          <w:szCs w:val="20"/>
        </w:rPr>
        <w:t>never</w:t>
      </w:r>
      <w:r w:rsidR="00442871">
        <w:rPr>
          <w:rFonts w:ascii="Garamond" w:hAnsi="Garamond"/>
          <w:sz w:val="20"/>
          <w:szCs w:val="20"/>
        </w:rPr>
        <w:t xml:space="preserve"> simply represent</w:t>
      </w:r>
      <w:r w:rsidR="00414F25">
        <w:rPr>
          <w:rFonts w:ascii="Garamond" w:hAnsi="Garamond"/>
          <w:sz w:val="20"/>
          <w:szCs w:val="20"/>
        </w:rPr>
        <w:t>s</w:t>
      </w:r>
      <w:r w:rsidR="00442871">
        <w:rPr>
          <w:rFonts w:ascii="Garamond" w:hAnsi="Garamond"/>
          <w:sz w:val="20"/>
          <w:szCs w:val="20"/>
        </w:rPr>
        <w:t xml:space="preserve"> the future but actively </w:t>
      </w:r>
      <w:r w:rsidR="00A459B4">
        <w:rPr>
          <w:rFonts w:ascii="Garamond" w:hAnsi="Garamond"/>
          <w:sz w:val="20"/>
          <w:szCs w:val="20"/>
        </w:rPr>
        <w:t>produces the futures it then seeks to govern.</w:t>
      </w:r>
    </w:p>
    <w:p w14:paraId="0FD7AE40" w14:textId="77777777" w:rsidR="002B1F7B" w:rsidRDefault="002B1F7B" w:rsidP="002B1F7B">
      <w:pPr>
        <w:spacing w:line="360" w:lineRule="auto"/>
        <w:ind w:left="567" w:right="567"/>
        <w:rPr>
          <w:rFonts w:ascii="Garamond" w:hAnsi="Garamond"/>
          <w:sz w:val="20"/>
          <w:szCs w:val="20"/>
        </w:rPr>
      </w:pPr>
    </w:p>
    <w:p w14:paraId="1E608E02" w14:textId="77777777" w:rsidR="004D131C" w:rsidRPr="00A24DE7" w:rsidRDefault="004D131C" w:rsidP="00E72458">
      <w:pPr>
        <w:spacing w:line="360" w:lineRule="auto"/>
        <w:rPr>
          <w:rFonts w:ascii="Garamond" w:hAnsi="Garamond"/>
        </w:rPr>
      </w:pPr>
    </w:p>
    <w:p w14:paraId="1ACBF346" w14:textId="39E82B25" w:rsidR="004D131C" w:rsidRPr="00E72458" w:rsidRDefault="004D131C" w:rsidP="00E72458">
      <w:pPr>
        <w:spacing w:line="360" w:lineRule="auto"/>
        <w:jc w:val="center"/>
        <w:rPr>
          <w:rFonts w:ascii="Garamond" w:hAnsi="Garamond"/>
          <w:b/>
          <w:bCs/>
          <w:sz w:val="28"/>
          <w:szCs w:val="28"/>
        </w:rPr>
      </w:pPr>
      <w:r w:rsidRPr="00E72458">
        <w:rPr>
          <w:rFonts w:ascii="Garamond" w:hAnsi="Garamond"/>
          <w:b/>
          <w:bCs/>
          <w:sz w:val="28"/>
          <w:szCs w:val="28"/>
        </w:rPr>
        <w:t>Introduction</w:t>
      </w:r>
    </w:p>
    <w:p w14:paraId="513EB080" w14:textId="3ECD2748" w:rsidR="00D70214" w:rsidRDefault="00B946F2" w:rsidP="00E72458">
      <w:pPr>
        <w:spacing w:line="360" w:lineRule="auto"/>
        <w:rPr>
          <w:rFonts w:ascii="Garamond" w:hAnsi="Garamond"/>
        </w:rPr>
      </w:pPr>
      <w:r w:rsidRPr="00A24DE7">
        <w:rPr>
          <w:rFonts w:ascii="Garamond" w:hAnsi="Garamond"/>
        </w:rPr>
        <w:t xml:space="preserve">It is </w:t>
      </w:r>
      <w:r w:rsidR="00436912" w:rsidRPr="00A24DE7">
        <w:rPr>
          <w:rFonts w:ascii="Garamond" w:hAnsi="Garamond"/>
        </w:rPr>
        <w:t>uncontroversial to say</w:t>
      </w:r>
      <w:r w:rsidR="00213D1B" w:rsidRPr="00A24DE7">
        <w:rPr>
          <w:rFonts w:ascii="Garamond" w:hAnsi="Garamond"/>
        </w:rPr>
        <w:t xml:space="preserve"> that</w:t>
      </w:r>
      <w:r w:rsidRPr="00A24DE7">
        <w:rPr>
          <w:rFonts w:ascii="Garamond" w:hAnsi="Garamond"/>
        </w:rPr>
        <w:t xml:space="preserve"> land use planning </w:t>
      </w:r>
      <w:r w:rsidR="00D70214">
        <w:rPr>
          <w:rFonts w:ascii="Garamond" w:hAnsi="Garamond"/>
        </w:rPr>
        <w:t>is a temporal field, c</w:t>
      </w:r>
      <w:r w:rsidR="00A24DE7">
        <w:rPr>
          <w:rFonts w:ascii="Garamond" w:hAnsi="Garamond"/>
        </w:rPr>
        <w:t xml:space="preserve">oncerned as it is with issues of sustainability, change, conservation, </w:t>
      </w:r>
      <w:r w:rsidR="00D70214">
        <w:rPr>
          <w:rFonts w:ascii="Garamond" w:hAnsi="Garamond"/>
        </w:rPr>
        <w:t xml:space="preserve">growth, </w:t>
      </w:r>
      <w:r w:rsidR="00A24DE7">
        <w:rPr>
          <w:rFonts w:ascii="Garamond" w:hAnsi="Garamond"/>
        </w:rPr>
        <w:t xml:space="preserve">regeneration and </w:t>
      </w:r>
      <w:r w:rsidRPr="00A24DE7">
        <w:rPr>
          <w:rFonts w:ascii="Garamond" w:hAnsi="Garamond"/>
        </w:rPr>
        <w:t>‘the possibilities that time offers space’.</w:t>
      </w:r>
      <w:r w:rsidRPr="00A24DE7">
        <w:rPr>
          <w:rStyle w:val="EndnoteReference"/>
          <w:rFonts w:ascii="Garamond" w:hAnsi="Garamond"/>
        </w:rPr>
        <w:endnoteReference w:id="1"/>
      </w:r>
      <w:r w:rsidR="00BB65AF" w:rsidRPr="00A24DE7">
        <w:rPr>
          <w:rFonts w:ascii="Garamond" w:hAnsi="Garamond"/>
        </w:rPr>
        <w:t xml:space="preserve">  </w:t>
      </w:r>
      <w:r w:rsidR="00A24DE7">
        <w:rPr>
          <w:rFonts w:ascii="Garamond" w:hAnsi="Garamond"/>
        </w:rPr>
        <w:t>Equally</w:t>
      </w:r>
      <w:r w:rsidR="00213D1B" w:rsidRPr="00A24DE7">
        <w:rPr>
          <w:rFonts w:ascii="Garamond" w:hAnsi="Garamond"/>
        </w:rPr>
        <w:t xml:space="preserve"> uncontroversial is the suggestion th</w:t>
      </w:r>
      <w:r w:rsidR="00436912" w:rsidRPr="00A24DE7">
        <w:rPr>
          <w:rFonts w:ascii="Garamond" w:hAnsi="Garamond"/>
        </w:rPr>
        <w:t xml:space="preserve">at </w:t>
      </w:r>
      <w:r w:rsidR="00213D1B" w:rsidRPr="00A24DE7">
        <w:rPr>
          <w:rFonts w:ascii="Garamond" w:hAnsi="Garamond"/>
        </w:rPr>
        <w:t xml:space="preserve">planning </w:t>
      </w:r>
      <w:r w:rsidR="00436912" w:rsidRPr="00A24DE7">
        <w:rPr>
          <w:rFonts w:ascii="Garamond" w:hAnsi="Garamond"/>
        </w:rPr>
        <w:t>involves a particular orientation to the future and that</w:t>
      </w:r>
      <w:r w:rsidR="00730A60" w:rsidRPr="00A24DE7">
        <w:rPr>
          <w:rFonts w:ascii="Garamond" w:hAnsi="Garamond"/>
        </w:rPr>
        <w:t>,</w:t>
      </w:r>
      <w:r w:rsidR="00436912" w:rsidRPr="00A24DE7">
        <w:rPr>
          <w:rFonts w:ascii="Garamond" w:hAnsi="Garamond"/>
        </w:rPr>
        <w:t xml:space="preserve"> even if </w:t>
      </w:r>
      <w:r w:rsidR="00570CB8">
        <w:rPr>
          <w:rFonts w:ascii="Garamond" w:hAnsi="Garamond"/>
        </w:rPr>
        <w:t>it</w:t>
      </w:r>
      <w:r w:rsidR="00436912" w:rsidRPr="00A24DE7">
        <w:rPr>
          <w:rFonts w:ascii="Garamond" w:hAnsi="Garamond"/>
        </w:rPr>
        <w:t xml:space="preserve"> falls short of </w:t>
      </w:r>
      <w:r w:rsidR="00730A60" w:rsidRPr="00A24DE7">
        <w:rPr>
          <w:rFonts w:ascii="Garamond" w:hAnsi="Garamond"/>
        </w:rPr>
        <w:t>expectations</w:t>
      </w:r>
      <w:r w:rsidR="00436912" w:rsidRPr="00A24DE7">
        <w:rPr>
          <w:rFonts w:ascii="Garamond" w:hAnsi="Garamond"/>
        </w:rPr>
        <w:t>,</w:t>
      </w:r>
      <w:r w:rsidR="00730A60" w:rsidRPr="00A24DE7">
        <w:rPr>
          <w:rFonts w:ascii="Garamond" w:hAnsi="Garamond"/>
        </w:rPr>
        <w:t xml:space="preserve"> </w:t>
      </w:r>
      <w:r w:rsidR="00FA7006" w:rsidRPr="00A24DE7">
        <w:rPr>
          <w:rFonts w:ascii="Garamond" w:hAnsi="Garamond"/>
        </w:rPr>
        <w:t>it</w:t>
      </w:r>
      <w:r w:rsidR="00730A60" w:rsidRPr="00A24DE7">
        <w:rPr>
          <w:rFonts w:ascii="Garamond" w:hAnsi="Garamond"/>
        </w:rPr>
        <w:t xml:space="preserve"> is motivated by </w:t>
      </w:r>
      <w:r w:rsidR="00436912" w:rsidRPr="00A24DE7">
        <w:rPr>
          <w:rFonts w:ascii="Garamond" w:hAnsi="Garamond"/>
        </w:rPr>
        <w:t>‘a belief that action now can shape future potentialities</w:t>
      </w:r>
      <w:r w:rsidR="00730A60" w:rsidRPr="00A24DE7">
        <w:rPr>
          <w:rFonts w:ascii="Garamond" w:hAnsi="Garamond"/>
        </w:rPr>
        <w:t>’.</w:t>
      </w:r>
      <w:r w:rsidR="00D1748C" w:rsidRPr="00A24DE7">
        <w:rPr>
          <w:rStyle w:val="EndnoteReference"/>
          <w:rFonts w:ascii="Garamond" w:hAnsi="Garamond"/>
        </w:rPr>
        <w:endnoteReference w:id="2"/>
      </w:r>
      <w:r w:rsidR="00B2684F">
        <w:rPr>
          <w:rFonts w:ascii="Garamond" w:hAnsi="Garamond"/>
        </w:rPr>
        <w:t xml:space="preserve">  Planning</w:t>
      </w:r>
      <w:r w:rsidR="00A24DE7">
        <w:rPr>
          <w:rFonts w:ascii="Garamond" w:hAnsi="Garamond"/>
        </w:rPr>
        <w:t xml:space="preserve"> is variously described as </w:t>
      </w:r>
      <w:r w:rsidR="00B23E4B" w:rsidRPr="00A24DE7">
        <w:rPr>
          <w:rFonts w:ascii="Garamond" w:hAnsi="Garamond"/>
        </w:rPr>
        <w:t>a form of ‘persuasive storytelling about the future’,</w:t>
      </w:r>
      <w:r w:rsidR="00B23E4B" w:rsidRPr="00A24DE7">
        <w:rPr>
          <w:rStyle w:val="EndnoteReference"/>
          <w:rFonts w:ascii="Garamond" w:hAnsi="Garamond"/>
        </w:rPr>
        <w:endnoteReference w:id="3"/>
      </w:r>
      <w:r w:rsidR="00B23E4B" w:rsidRPr="00A24DE7">
        <w:rPr>
          <w:rFonts w:ascii="Garamond" w:hAnsi="Garamond"/>
        </w:rPr>
        <w:t xml:space="preserve"> as ‘aspirational’</w:t>
      </w:r>
      <w:r w:rsidR="00B23E4B" w:rsidRPr="00A24DE7">
        <w:rPr>
          <w:rStyle w:val="EndnoteReference"/>
          <w:rFonts w:ascii="Garamond" w:hAnsi="Garamond"/>
        </w:rPr>
        <w:endnoteReference w:id="4"/>
      </w:r>
      <w:r w:rsidR="00B23E4B" w:rsidRPr="00A24DE7">
        <w:rPr>
          <w:rFonts w:ascii="Garamond" w:hAnsi="Garamond"/>
        </w:rPr>
        <w:t xml:space="preserve"> and ‘anticipatory’,</w:t>
      </w:r>
      <w:r w:rsidR="00B23E4B" w:rsidRPr="00A24DE7">
        <w:rPr>
          <w:rStyle w:val="EndnoteReference"/>
          <w:rFonts w:ascii="Garamond" w:hAnsi="Garamond"/>
        </w:rPr>
        <w:endnoteReference w:id="5"/>
      </w:r>
      <w:r w:rsidR="00B23E4B" w:rsidRPr="00A24DE7">
        <w:rPr>
          <w:rFonts w:ascii="Garamond" w:hAnsi="Garamond"/>
        </w:rPr>
        <w:t xml:space="preserve"> and more concretely as </w:t>
      </w:r>
      <w:r w:rsidR="004D6EDD" w:rsidRPr="00A24DE7">
        <w:rPr>
          <w:rFonts w:ascii="Garamond" w:hAnsi="Garamond"/>
        </w:rPr>
        <w:t>‘the specification of a proposed future coupled with systemic intervention and/or regulation in order to achieve that future’</w:t>
      </w:r>
      <w:r w:rsidR="00B23E4B" w:rsidRPr="00A24DE7">
        <w:rPr>
          <w:rFonts w:ascii="Garamond" w:hAnsi="Garamond"/>
        </w:rPr>
        <w:t>.</w:t>
      </w:r>
      <w:r w:rsidR="005771DB" w:rsidRPr="00A24DE7">
        <w:rPr>
          <w:rStyle w:val="EndnoteReference"/>
          <w:rFonts w:ascii="Garamond" w:hAnsi="Garamond"/>
        </w:rPr>
        <w:endnoteReference w:id="6"/>
      </w:r>
      <w:r w:rsidR="00570CB8">
        <w:rPr>
          <w:rFonts w:ascii="Garamond" w:hAnsi="Garamond"/>
        </w:rPr>
        <w:t xml:space="preserve">  Both as an ideal and as a practice, planning is future-bound.  </w:t>
      </w:r>
      <w:r w:rsidR="00663226" w:rsidRPr="00A24DE7">
        <w:rPr>
          <w:rFonts w:ascii="Garamond" w:hAnsi="Garamond"/>
        </w:rPr>
        <w:t xml:space="preserve">Yet </w:t>
      </w:r>
      <w:r w:rsidR="00B12B85" w:rsidRPr="00A24DE7">
        <w:rPr>
          <w:rFonts w:ascii="Garamond" w:hAnsi="Garamond"/>
        </w:rPr>
        <w:t>while</w:t>
      </w:r>
      <w:r w:rsidR="00B23E4B" w:rsidRPr="00A24DE7">
        <w:rPr>
          <w:rFonts w:ascii="Garamond" w:hAnsi="Garamond"/>
        </w:rPr>
        <w:t xml:space="preserve"> the relationship between planning and the future has long </w:t>
      </w:r>
      <w:r w:rsidR="00A24DE7">
        <w:rPr>
          <w:rFonts w:ascii="Garamond" w:hAnsi="Garamond"/>
        </w:rPr>
        <w:t>been accepted as foundational</w:t>
      </w:r>
      <w:r w:rsidR="004C3C9A">
        <w:rPr>
          <w:rFonts w:ascii="Garamond" w:hAnsi="Garamond"/>
        </w:rPr>
        <w:t>,</w:t>
      </w:r>
      <w:r w:rsidR="00A24DE7">
        <w:rPr>
          <w:rFonts w:ascii="Garamond" w:hAnsi="Garamond"/>
        </w:rPr>
        <w:t xml:space="preserve"> and </w:t>
      </w:r>
      <w:r w:rsidR="00B2684F">
        <w:rPr>
          <w:rFonts w:ascii="Garamond" w:hAnsi="Garamond"/>
        </w:rPr>
        <w:t>has proved</w:t>
      </w:r>
      <w:r w:rsidR="00D70214">
        <w:rPr>
          <w:rFonts w:ascii="Garamond" w:hAnsi="Garamond"/>
        </w:rPr>
        <w:t xml:space="preserve"> a </w:t>
      </w:r>
      <w:r w:rsidR="00EC75CD">
        <w:rPr>
          <w:rFonts w:ascii="Garamond" w:hAnsi="Garamond"/>
        </w:rPr>
        <w:t>fertile ground</w:t>
      </w:r>
      <w:r w:rsidR="00D70214">
        <w:rPr>
          <w:rFonts w:ascii="Garamond" w:hAnsi="Garamond"/>
        </w:rPr>
        <w:t xml:space="preserve"> for critical scholars in </w:t>
      </w:r>
      <w:r w:rsidR="00FB5C90">
        <w:rPr>
          <w:rFonts w:ascii="Garamond" w:hAnsi="Garamond"/>
        </w:rPr>
        <w:t>land-use management and planning theory</w:t>
      </w:r>
      <w:r w:rsidR="00D70214">
        <w:rPr>
          <w:rFonts w:ascii="Garamond" w:hAnsi="Garamond"/>
        </w:rPr>
        <w:t>, there has been little express consideration in this context of the part played by law.</w:t>
      </w:r>
    </w:p>
    <w:p w14:paraId="69387E79" w14:textId="77777777" w:rsidR="005862CF" w:rsidRDefault="005862CF" w:rsidP="00E72458">
      <w:pPr>
        <w:spacing w:line="360" w:lineRule="auto"/>
        <w:rPr>
          <w:rFonts w:ascii="Garamond" w:hAnsi="Garamond"/>
        </w:rPr>
      </w:pPr>
    </w:p>
    <w:p w14:paraId="4783ED4B" w14:textId="26728EA1" w:rsidR="004776EC" w:rsidRDefault="005862CF" w:rsidP="00E72458">
      <w:pPr>
        <w:spacing w:line="360" w:lineRule="auto"/>
        <w:rPr>
          <w:rFonts w:ascii="Garamond" w:hAnsi="Garamond"/>
        </w:rPr>
      </w:pPr>
      <w:r>
        <w:rPr>
          <w:rFonts w:ascii="Garamond" w:hAnsi="Garamond"/>
        </w:rPr>
        <w:t>My aim in this chapter is to give planning law,</w:t>
      </w:r>
      <w:r w:rsidR="00DE4539">
        <w:rPr>
          <w:rFonts w:ascii="Garamond" w:hAnsi="Garamond"/>
        </w:rPr>
        <w:t xml:space="preserve"> and law generally,</w:t>
      </w:r>
      <w:r>
        <w:rPr>
          <w:rFonts w:ascii="Garamond" w:hAnsi="Garamond"/>
        </w:rPr>
        <w:t xml:space="preserve"> a greater prominence in research on the future.  </w:t>
      </w:r>
      <w:r w:rsidR="007E5073">
        <w:rPr>
          <w:rFonts w:ascii="Garamond" w:hAnsi="Garamond"/>
        </w:rPr>
        <w:t>M</w:t>
      </w:r>
      <w:r w:rsidR="00060205">
        <w:rPr>
          <w:rFonts w:ascii="Garamond" w:hAnsi="Garamond"/>
        </w:rPr>
        <w:t>odern f</w:t>
      </w:r>
      <w:r>
        <w:rPr>
          <w:rFonts w:ascii="Garamond" w:hAnsi="Garamond"/>
        </w:rPr>
        <w:t xml:space="preserve">utures studies </w:t>
      </w:r>
      <w:r w:rsidR="00060205">
        <w:rPr>
          <w:rFonts w:ascii="Garamond" w:hAnsi="Garamond"/>
        </w:rPr>
        <w:t xml:space="preserve">began </w:t>
      </w:r>
      <w:r w:rsidR="00DD671C">
        <w:rPr>
          <w:rFonts w:ascii="Garamond" w:hAnsi="Garamond"/>
        </w:rPr>
        <w:t xml:space="preserve">life </w:t>
      </w:r>
      <w:r w:rsidR="00060205">
        <w:rPr>
          <w:rFonts w:ascii="Garamond" w:hAnsi="Garamond"/>
        </w:rPr>
        <w:t xml:space="preserve">as an applied science aimed at developing </w:t>
      </w:r>
      <w:r w:rsidR="00DD671C">
        <w:rPr>
          <w:rFonts w:ascii="Garamond" w:hAnsi="Garamond"/>
        </w:rPr>
        <w:t xml:space="preserve">computational </w:t>
      </w:r>
      <w:r w:rsidR="00060205">
        <w:rPr>
          <w:rFonts w:ascii="Garamond" w:hAnsi="Garamond"/>
        </w:rPr>
        <w:t xml:space="preserve">tools </w:t>
      </w:r>
      <w:r w:rsidR="00DD671C">
        <w:rPr>
          <w:rFonts w:ascii="Garamond" w:hAnsi="Garamond"/>
        </w:rPr>
        <w:t xml:space="preserve">for </w:t>
      </w:r>
      <w:r w:rsidR="00060205">
        <w:rPr>
          <w:rFonts w:ascii="Garamond" w:hAnsi="Garamond"/>
        </w:rPr>
        <w:t xml:space="preserve">forecasting and prediction, </w:t>
      </w:r>
      <w:r w:rsidR="007E5073">
        <w:rPr>
          <w:rFonts w:ascii="Garamond" w:hAnsi="Garamond"/>
        </w:rPr>
        <w:t>but</w:t>
      </w:r>
      <w:r w:rsidR="00060205">
        <w:rPr>
          <w:rFonts w:ascii="Garamond" w:hAnsi="Garamond"/>
        </w:rPr>
        <w:t xml:space="preserve"> </w:t>
      </w:r>
      <w:r w:rsidR="006807F8">
        <w:rPr>
          <w:rFonts w:ascii="Garamond" w:hAnsi="Garamond"/>
        </w:rPr>
        <w:t xml:space="preserve">it </w:t>
      </w:r>
      <w:r w:rsidR="00060205">
        <w:rPr>
          <w:rFonts w:ascii="Garamond" w:hAnsi="Garamond"/>
        </w:rPr>
        <w:t xml:space="preserve">has grown in disciplinary scope and gained a sharper critical edge in the social sciences and humanities, setting new agendas for engaging with the future not as a fixed object </w:t>
      </w:r>
      <w:r w:rsidR="00CC61E4">
        <w:rPr>
          <w:rFonts w:ascii="Garamond" w:hAnsi="Garamond"/>
        </w:rPr>
        <w:t>‘out there’ to</w:t>
      </w:r>
      <w:r w:rsidR="00060205">
        <w:rPr>
          <w:rFonts w:ascii="Garamond" w:hAnsi="Garamond"/>
        </w:rPr>
        <w:t xml:space="preserve"> be measured</w:t>
      </w:r>
      <w:r w:rsidR="002705AF">
        <w:rPr>
          <w:rFonts w:ascii="Garamond" w:hAnsi="Garamond"/>
        </w:rPr>
        <w:t xml:space="preserve">, </w:t>
      </w:r>
      <w:r w:rsidR="00060205">
        <w:rPr>
          <w:rFonts w:ascii="Garamond" w:hAnsi="Garamond"/>
        </w:rPr>
        <w:t>managed</w:t>
      </w:r>
      <w:r w:rsidR="002705AF">
        <w:rPr>
          <w:rFonts w:ascii="Garamond" w:hAnsi="Garamond"/>
        </w:rPr>
        <w:t xml:space="preserve"> and moved into,</w:t>
      </w:r>
      <w:r w:rsidR="00060205">
        <w:rPr>
          <w:rFonts w:ascii="Garamond" w:hAnsi="Garamond"/>
        </w:rPr>
        <w:t xml:space="preserve"> but </w:t>
      </w:r>
      <w:r w:rsidR="00C3363B">
        <w:rPr>
          <w:rFonts w:ascii="Garamond" w:hAnsi="Garamond"/>
        </w:rPr>
        <w:t>instead</w:t>
      </w:r>
      <w:r w:rsidR="00060205">
        <w:rPr>
          <w:rFonts w:ascii="Garamond" w:hAnsi="Garamond"/>
        </w:rPr>
        <w:t xml:space="preserve"> as a continuous</w:t>
      </w:r>
      <w:r w:rsidR="001D743F">
        <w:rPr>
          <w:rFonts w:ascii="Garamond" w:hAnsi="Garamond"/>
        </w:rPr>
        <w:t xml:space="preserve"> </w:t>
      </w:r>
      <w:r w:rsidR="00060205">
        <w:rPr>
          <w:rFonts w:ascii="Garamond" w:hAnsi="Garamond"/>
        </w:rPr>
        <w:t>process</w:t>
      </w:r>
      <w:r w:rsidR="00CC61E4">
        <w:rPr>
          <w:rFonts w:ascii="Garamond" w:hAnsi="Garamond"/>
        </w:rPr>
        <w:t>, always in flux</w:t>
      </w:r>
      <w:r w:rsidR="00A67DD5">
        <w:rPr>
          <w:rFonts w:ascii="Garamond" w:hAnsi="Garamond"/>
        </w:rPr>
        <w:t>,</w:t>
      </w:r>
      <w:r w:rsidR="00AE5AAF">
        <w:rPr>
          <w:rFonts w:ascii="Garamond" w:hAnsi="Garamond"/>
        </w:rPr>
        <w:t xml:space="preserve"> not separate from but immanent in the present.</w:t>
      </w:r>
      <w:r w:rsidR="0078714F">
        <w:rPr>
          <w:rFonts w:ascii="Garamond" w:hAnsi="Garamond"/>
        </w:rPr>
        <w:t xml:space="preserve">  Pioneers in the field have </w:t>
      </w:r>
      <w:r w:rsidR="007006C9">
        <w:rPr>
          <w:rFonts w:ascii="Garamond" w:hAnsi="Garamond"/>
        </w:rPr>
        <w:t>accorded</w:t>
      </w:r>
      <w:r w:rsidR="0078714F">
        <w:rPr>
          <w:rFonts w:ascii="Garamond" w:hAnsi="Garamond"/>
        </w:rPr>
        <w:t xml:space="preserve"> </w:t>
      </w:r>
      <w:r w:rsidR="007006C9">
        <w:rPr>
          <w:rFonts w:ascii="Garamond" w:hAnsi="Garamond"/>
        </w:rPr>
        <w:t>particular</w:t>
      </w:r>
      <w:r w:rsidR="0078714F">
        <w:rPr>
          <w:rFonts w:ascii="Garamond" w:hAnsi="Garamond"/>
        </w:rPr>
        <w:t xml:space="preserve"> analytic significance to </w:t>
      </w:r>
      <w:r w:rsidR="0078714F">
        <w:rPr>
          <w:rFonts w:ascii="Garamond" w:hAnsi="Garamond"/>
        </w:rPr>
        <w:lastRenderedPageBreak/>
        <w:t>f</w:t>
      </w:r>
      <w:r w:rsidR="00CC61E4">
        <w:rPr>
          <w:rFonts w:ascii="Garamond" w:hAnsi="Garamond"/>
        </w:rPr>
        <w:t xml:space="preserve">utures-in-the-making </w:t>
      </w:r>
      <w:r w:rsidR="0078714F">
        <w:rPr>
          <w:rFonts w:ascii="Garamond" w:hAnsi="Garamond"/>
        </w:rPr>
        <w:t>(</w:t>
      </w:r>
      <w:r w:rsidR="00CC61E4">
        <w:rPr>
          <w:rFonts w:ascii="Garamond" w:hAnsi="Garamond"/>
        </w:rPr>
        <w:t xml:space="preserve">rather than futures already </w:t>
      </w:r>
      <w:r w:rsidR="001D743F">
        <w:rPr>
          <w:rFonts w:ascii="Garamond" w:hAnsi="Garamond"/>
        </w:rPr>
        <w:t>‘</w:t>
      </w:r>
      <w:r w:rsidR="00CC61E4">
        <w:rPr>
          <w:rFonts w:ascii="Garamond" w:hAnsi="Garamond"/>
        </w:rPr>
        <w:t>made</w:t>
      </w:r>
      <w:r w:rsidR="001D743F">
        <w:rPr>
          <w:rFonts w:ascii="Garamond" w:hAnsi="Garamond"/>
        </w:rPr>
        <w:t>’</w:t>
      </w:r>
      <w:r w:rsidR="0078714F">
        <w:rPr>
          <w:rFonts w:ascii="Garamond" w:hAnsi="Garamond"/>
        </w:rPr>
        <w:t xml:space="preserve"> through statistical modelling, for example),</w:t>
      </w:r>
      <w:r w:rsidR="0078714F">
        <w:rPr>
          <w:rStyle w:val="EndnoteReference"/>
          <w:rFonts w:ascii="Garamond" w:hAnsi="Garamond"/>
        </w:rPr>
        <w:endnoteReference w:id="7"/>
      </w:r>
      <w:r w:rsidR="0078714F">
        <w:rPr>
          <w:rFonts w:ascii="Garamond" w:hAnsi="Garamond"/>
        </w:rPr>
        <w:t xml:space="preserve"> and to the need</w:t>
      </w:r>
      <w:r w:rsidR="005C6B49">
        <w:rPr>
          <w:rFonts w:ascii="Garamond" w:hAnsi="Garamond"/>
        </w:rPr>
        <w:t xml:space="preserve"> for inventive ways of </w:t>
      </w:r>
      <w:r w:rsidR="00460088">
        <w:rPr>
          <w:rFonts w:ascii="Garamond" w:hAnsi="Garamond"/>
        </w:rPr>
        <w:t>studying</w:t>
      </w:r>
      <w:r w:rsidR="0078714F">
        <w:rPr>
          <w:rFonts w:ascii="Garamond" w:hAnsi="Garamond"/>
        </w:rPr>
        <w:t xml:space="preserve"> the </w:t>
      </w:r>
      <w:r w:rsidR="006269C4">
        <w:rPr>
          <w:rFonts w:ascii="Garamond" w:hAnsi="Garamond"/>
        </w:rPr>
        <w:t xml:space="preserve">empirically elusive </w:t>
      </w:r>
      <w:r w:rsidR="0078714F">
        <w:rPr>
          <w:rFonts w:ascii="Garamond" w:hAnsi="Garamond"/>
        </w:rPr>
        <w:t>realm of the not-yet.</w:t>
      </w:r>
      <w:r w:rsidR="0078714F">
        <w:rPr>
          <w:rStyle w:val="EndnoteReference"/>
          <w:rFonts w:ascii="Garamond" w:hAnsi="Garamond"/>
        </w:rPr>
        <w:endnoteReference w:id="8"/>
      </w:r>
      <w:r w:rsidR="00DD4FF4">
        <w:rPr>
          <w:rFonts w:ascii="Garamond" w:hAnsi="Garamond"/>
        </w:rPr>
        <w:t xml:space="preserve">  This has been taken in </w:t>
      </w:r>
      <w:r w:rsidR="002363F8">
        <w:rPr>
          <w:rFonts w:ascii="Garamond" w:hAnsi="Garamond"/>
        </w:rPr>
        <w:t>several</w:t>
      </w:r>
      <w:r w:rsidR="00DD4FF4">
        <w:rPr>
          <w:rFonts w:ascii="Garamond" w:hAnsi="Garamond"/>
        </w:rPr>
        <w:t xml:space="preserve"> directions, opening up new avenues of </w:t>
      </w:r>
      <w:r w:rsidR="00C81753">
        <w:rPr>
          <w:rFonts w:ascii="Garamond" w:hAnsi="Garamond"/>
        </w:rPr>
        <w:t>inquiry into anthropologies of the future,</w:t>
      </w:r>
      <w:r w:rsidR="00B61EDF">
        <w:rPr>
          <w:rStyle w:val="EndnoteReference"/>
          <w:rFonts w:ascii="Garamond" w:hAnsi="Garamond"/>
        </w:rPr>
        <w:endnoteReference w:id="9"/>
      </w:r>
      <w:r w:rsidR="00C81753">
        <w:rPr>
          <w:rFonts w:ascii="Garamond" w:hAnsi="Garamond"/>
        </w:rPr>
        <w:t xml:space="preserve"> geographies of the future,</w:t>
      </w:r>
      <w:r w:rsidR="005D6234">
        <w:rPr>
          <w:rStyle w:val="EndnoteReference"/>
          <w:rFonts w:ascii="Garamond" w:hAnsi="Garamond"/>
        </w:rPr>
        <w:endnoteReference w:id="10"/>
      </w:r>
      <w:r w:rsidR="00C81753">
        <w:rPr>
          <w:rFonts w:ascii="Garamond" w:hAnsi="Garamond"/>
        </w:rPr>
        <w:t xml:space="preserve"> futurescapes of urban regeneration,</w:t>
      </w:r>
      <w:r w:rsidR="00B55568">
        <w:rPr>
          <w:rStyle w:val="EndnoteReference"/>
          <w:rFonts w:ascii="Garamond" w:hAnsi="Garamond"/>
        </w:rPr>
        <w:endnoteReference w:id="11"/>
      </w:r>
      <w:r w:rsidR="00C81753">
        <w:rPr>
          <w:rFonts w:ascii="Garamond" w:hAnsi="Garamond"/>
        </w:rPr>
        <w:t xml:space="preserve"> </w:t>
      </w:r>
      <w:r w:rsidR="00863FE3">
        <w:rPr>
          <w:rFonts w:ascii="Garamond" w:hAnsi="Garamond"/>
        </w:rPr>
        <w:t>speculative research methods,</w:t>
      </w:r>
      <w:r w:rsidR="006F7EF9">
        <w:rPr>
          <w:rStyle w:val="EndnoteReference"/>
          <w:rFonts w:ascii="Garamond" w:hAnsi="Garamond"/>
        </w:rPr>
        <w:endnoteReference w:id="12"/>
      </w:r>
      <w:r w:rsidR="00C81753">
        <w:rPr>
          <w:rFonts w:ascii="Garamond" w:hAnsi="Garamond"/>
        </w:rPr>
        <w:t xml:space="preserve"> and socio-technical imaginaries</w:t>
      </w:r>
      <w:r w:rsidR="006F7EF9">
        <w:rPr>
          <w:rStyle w:val="EndnoteReference"/>
          <w:rFonts w:ascii="Garamond" w:hAnsi="Garamond"/>
        </w:rPr>
        <w:endnoteReference w:id="13"/>
      </w:r>
      <w:r w:rsidR="00C81753">
        <w:rPr>
          <w:rFonts w:ascii="Garamond" w:hAnsi="Garamond"/>
        </w:rPr>
        <w:t xml:space="preserve"> – to name just a few areas where explicit efforts have been made to </w:t>
      </w:r>
      <w:r w:rsidR="0011174C">
        <w:rPr>
          <w:rFonts w:ascii="Garamond" w:hAnsi="Garamond"/>
        </w:rPr>
        <w:t>build</w:t>
      </w:r>
      <w:r w:rsidR="00D74ECA">
        <w:rPr>
          <w:rFonts w:ascii="Garamond" w:hAnsi="Garamond"/>
        </w:rPr>
        <w:t xml:space="preserve"> a fuller</w:t>
      </w:r>
      <w:r w:rsidR="0011174C">
        <w:rPr>
          <w:rFonts w:ascii="Garamond" w:hAnsi="Garamond"/>
        </w:rPr>
        <w:t xml:space="preserve"> picture </w:t>
      </w:r>
      <w:r w:rsidR="00B306C2">
        <w:rPr>
          <w:rFonts w:ascii="Garamond" w:hAnsi="Garamond"/>
        </w:rPr>
        <w:t>of</w:t>
      </w:r>
      <w:r w:rsidR="005C6B49">
        <w:rPr>
          <w:rFonts w:ascii="Garamond" w:hAnsi="Garamond"/>
        </w:rPr>
        <w:t xml:space="preserve"> </w:t>
      </w:r>
      <w:r w:rsidR="00B306C2">
        <w:rPr>
          <w:rFonts w:ascii="Garamond" w:hAnsi="Garamond"/>
        </w:rPr>
        <w:t xml:space="preserve">what specific imaginations of the future ‘do’ – </w:t>
      </w:r>
      <w:r w:rsidR="006A5460">
        <w:rPr>
          <w:rFonts w:ascii="Garamond" w:hAnsi="Garamond"/>
        </w:rPr>
        <w:t xml:space="preserve">how they </w:t>
      </w:r>
      <w:r w:rsidR="004C276F">
        <w:rPr>
          <w:rFonts w:ascii="Garamond" w:hAnsi="Garamond"/>
        </w:rPr>
        <w:t>configure</w:t>
      </w:r>
      <w:r w:rsidR="00B306C2">
        <w:rPr>
          <w:rFonts w:ascii="Garamond" w:hAnsi="Garamond"/>
        </w:rPr>
        <w:t xml:space="preserve"> power relations</w:t>
      </w:r>
      <w:r w:rsidR="00EC75CD">
        <w:rPr>
          <w:rFonts w:ascii="Garamond" w:hAnsi="Garamond"/>
        </w:rPr>
        <w:t xml:space="preserve">, </w:t>
      </w:r>
      <w:r w:rsidR="00B306C2">
        <w:rPr>
          <w:rFonts w:ascii="Garamond" w:hAnsi="Garamond"/>
        </w:rPr>
        <w:t>serve ideological goals</w:t>
      </w:r>
      <w:r w:rsidR="00DE4539">
        <w:rPr>
          <w:rFonts w:ascii="Garamond" w:hAnsi="Garamond"/>
        </w:rPr>
        <w:t>,</w:t>
      </w:r>
      <w:r w:rsidR="00B306C2">
        <w:rPr>
          <w:rFonts w:ascii="Garamond" w:hAnsi="Garamond"/>
        </w:rPr>
        <w:t xml:space="preserve"> and</w:t>
      </w:r>
      <w:r w:rsidR="00EC75CD">
        <w:rPr>
          <w:rFonts w:ascii="Garamond" w:hAnsi="Garamond"/>
        </w:rPr>
        <w:t xml:space="preserve"> determine wh</w:t>
      </w:r>
      <w:r w:rsidR="0015115F">
        <w:rPr>
          <w:rFonts w:ascii="Garamond" w:hAnsi="Garamond"/>
        </w:rPr>
        <w:t>ich accounts of the future</w:t>
      </w:r>
      <w:r w:rsidR="00EC75CD">
        <w:rPr>
          <w:rFonts w:ascii="Garamond" w:hAnsi="Garamond"/>
        </w:rPr>
        <w:t xml:space="preserve"> </w:t>
      </w:r>
      <w:r w:rsidR="0015115F">
        <w:rPr>
          <w:rFonts w:ascii="Garamond" w:hAnsi="Garamond"/>
        </w:rPr>
        <w:t>are seen</w:t>
      </w:r>
      <w:r w:rsidR="00EC75CD">
        <w:rPr>
          <w:rFonts w:ascii="Garamond" w:hAnsi="Garamond"/>
        </w:rPr>
        <w:t xml:space="preserve"> as </w:t>
      </w:r>
      <w:r w:rsidR="00B8532C">
        <w:rPr>
          <w:rFonts w:ascii="Garamond" w:hAnsi="Garamond"/>
        </w:rPr>
        <w:t xml:space="preserve">possible, plausible or desirable </w:t>
      </w:r>
      <w:r w:rsidR="00B306C2">
        <w:rPr>
          <w:rFonts w:ascii="Garamond" w:hAnsi="Garamond"/>
        </w:rPr>
        <w:t xml:space="preserve">– in the </w:t>
      </w:r>
      <w:r w:rsidR="00760F8D">
        <w:rPr>
          <w:rFonts w:ascii="Garamond" w:hAnsi="Garamond"/>
        </w:rPr>
        <w:t>here and now.</w:t>
      </w:r>
      <w:r w:rsidR="004776EC">
        <w:rPr>
          <w:rFonts w:ascii="Garamond" w:hAnsi="Garamond"/>
        </w:rPr>
        <w:t xml:space="preserve">  </w:t>
      </w:r>
    </w:p>
    <w:p w14:paraId="5BC796F9" w14:textId="77777777" w:rsidR="00327D36" w:rsidRDefault="00327D36" w:rsidP="00E72458">
      <w:pPr>
        <w:spacing w:line="360" w:lineRule="auto"/>
        <w:rPr>
          <w:rFonts w:ascii="Garamond" w:hAnsi="Garamond"/>
        </w:rPr>
      </w:pPr>
    </w:p>
    <w:p w14:paraId="2FD6157B" w14:textId="10C98F75" w:rsidR="00D84165" w:rsidRDefault="004776EC" w:rsidP="00E72458">
      <w:pPr>
        <w:spacing w:line="360" w:lineRule="auto"/>
        <w:rPr>
          <w:rFonts w:ascii="Garamond" w:hAnsi="Garamond"/>
        </w:rPr>
      </w:pPr>
      <w:r>
        <w:rPr>
          <w:rFonts w:ascii="Garamond" w:hAnsi="Garamond"/>
        </w:rPr>
        <w:t xml:space="preserve">This type of research has not been pursued, at least not </w:t>
      </w:r>
      <w:r w:rsidR="00234E17">
        <w:rPr>
          <w:rFonts w:ascii="Garamond" w:hAnsi="Garamond"/>
        </w:rPr>
        <w:t xml:space="preserve">directly </w:t>
      </w:r>
      <w:r w:rsidR="00FB315A">
        <w:rPr>
          <w:rFonts w:ascii="Garamond" w:hAnsi="Garamond"/>
        </w:rPr>
        <w:t xml:space="preserve">or </w:t>
      </w:r>
      <w:r>
        <w:rPr>
          <w:rFonts w:ascii="Garamond" w:hAnsi="Garamond"/>
        </w:rPr>
        <w:t>systematically, in legal scholarship</w:t>
      </w:r>
      <w:r w:rsidR="008B0A0E">
        <w:rPr>
          <w:rFonts w:ascii="Garamond" w:hAnsi="Garamond"/>
        </w:rPr>
        <w:t xml:space="preserve">, despite the </w:t>
      </w:r>
      <w:r>
        <w:rPr>
          <w:rFonts w:ascii="Garamond" w:hAnsi="Garamond"/>
        </w:rPr>
        <w:t xml:space="preserve">future’s </w:t>
      </w:r>
      <w:r w:rsidR="0030371A">
        <w:rPr>
          <w:rFonts w:ascii="Garamond" w:hAnsi="Garamond"/>
        </w:rPr>
        <w:t>pervasiveness in</w:t>
      </w:r>
      <w:r>
        <w:rPr>
          <w:rFonts w:ascii="Garamond" w:hAnsi="Garamond"/>
        </w:rPr>
        <w:t xml:space="preserve"> all aspects </w:t>
      </w:r>
      <w:r w:rsidR="008B0A0E">
        <w:rPr>
          <w:rFonts w:ascii="Garamond" w:hAnsi="Garamond"/>
        </w:rPr>
        <w:t xml:space="preserve">of </w:t>
      </w:r>
      <w:r>
        <w:rPr>
          <w:rFonts w:ascii="Garamond" w:hAnsi="Garamond"/>
        </w:rPr>
        <w:t>legal process and</w:t>
      </w:r>
      <w:r w:rsidR="008F047D">
        <w:rPr>
          <w:rFonts w:ascii="Garamond" w:hAnsi="Garamond"/>
        </w:rPr>
        <w:t xml:space="preserve"> </w:t>
      </w:r>
      <w:r>
        <w:rPr>
          <w:rFonts w:ascii="Garamond" w:hAnsi="Garamond"/>
        </w:rPr>
        <w:t>doctrine</w:t>
      </w:r>
      <w:r w:rsidR="00234E17">
        <w:rPr>
          <w:rFonts w:ascii="Garamond" w:hAnsi="Garamond"/>
        </w:rPr>
        <w:t>.</w:t>
      </w:r>
      <w:r w:rsidR="005406D5">
        <w:rPr>
          <w:rFonts w:ascii="Garamond" w:hAnsi="Garamond"/>
        </w:rPr>
        <w:t xml:space="preserve">  </w:t>
      </w:r>
      <w:r w:rsidR="001A37E3">
        <w:rPr>
          <w:rFonts w:ascii="Garamond" w:hAnsi="Garamond"/>
        </w:rPr>
        <w:t>The future’s</w:t>
      </w:r>
      <w:r w:rsidR="00512FCA">
        <w:rPr>
          <w:rFonts w:ascii="Garamond" w:hAnsi="Garamond"/>
        </w:rPr>
        <w:t xml:space="preserve"> </w:t>
      </w:r>
      <w:r w:rsidR="0035611B">
        <w:rPr>
          <w:rFonts w:ascii="Garamond" w:hAnsi="Garamond"/>
        </w:rPr>
        <w:t>inescapability</w:t>
      </w:r>
      <w:r w:rsidR="00B67EC5">
        <w:rPr>
          <w:rFonts w:ascii="Garamond" w:hAnsi="Garamond"/>
        </w:rPr>
        <w:t xml:space="preserve"> and diffuseness</w:t>
      </w:r>
      <w:r w:rsidR="00512FCA">
        <w:rPr>
          <w:rFonts w:ascii="Garamond" w:hAnsi="Garamond"/>
        </w:rPr>
        <w:t xml:space="preserve"> </w:t>
      </w:r>
      <w:r w:rsidR="002B2E23">
        <w:rPr>
          <w:rFonts w:ascii="Garamond" w:hAnsi="Garamond"/>
        </w:rPr>
        <w:t xml:space="preserve">are the very features, however, that seem to have contributed to the lack of </w:t>
      </w:r>
      <w:r w:rsidR="00605735">
        <w:rPr>
          <w:rFonts w:ascii="Garamond" w:hAnsi="Garamond"/>
        </w:rPr>
        <w:t xml:space="preserve">targeted </w:t>
      </w:r>
      <w:r w:rsidR="00800BC1">
        <w:rPr>
          <w:rFonts w:ascii="Garamond" w:hAnsi="Garamond"/>
        </w:rPr>
        <w:t xml:space="preserve">legal </w:t>
      </w:r>
      <w:r w:rsidR="00605735">
        <w:rPr>
          <w:rFonts w:ascii="Garamond" w:hAnsi="Garamond"/>
        </w:rPr>
        <w:t xml:space="preserve">engagement.  </w:t>
      </w:r>
      <w:r w:rsidR="00B8532C">
        <w:rPr>
          <w:rFonts w:ascii="Garamond" w:hAnsi="Garamond"/>
        </w:rPr>
        <w:t>Alt</w:t>
      </w:r>
      <w:r w:rsidR="0088217E">
        <w:rPr>
          <w:rFonts w:ascii="Garamond" w:hAnsi="Garamond"/>
        </w:rPr>
        <w:t xml:space="preserve">hough there are </w:t>
      </w:r>
      <w:r w:rsidR="00B8532C">
        <w:rPr>
          <w:rFonts w:ascii="Garamond" w:hAnsi="Garamond"/>
        </w:rPr>
        <w:t xml:space="preserve">notable </w:t>
      </w:r>
      <w:r w:rsidR="0088217E">
        <w:rPr>
          <w:rFonts w:ascii="Garamond" w:hAnsi="Garamond"/>
        </w:rPr>
        <w:t>exceptions,</w:t>
      </w:r>
      <w:r w:rsidR="002C6653">
        <w:rPr>
          <w:rStyle w:val="EndnoteReference"/>
          <w:rFonts w:ascii="Garamond" w:hAnsi="Garamond"/>
        </w:rPr>
        <w:endnoteReference w:id="14"/>
      </w:r>
      <w:r w:rsidR="002C6653">
        <w:rPr>
          <w:rFonts w:ascii="Garamond" w:hAnsi="Garamond"/>
        </w:rPr>
        <w:t xml:space="preserve"> the </w:t>
      </w:r>
      <w:r w:rsidR="002B2E23">
        <w:rPr>
          <w:rFonts w:ascii="Garamond" w:hAnsi="Garamond"/>
        </w:rPr>
        <w:t>future</w:t>
      </w:r>
      <w:r w:rsidR="00CB1F7C">
        <w:rPr>
          <w:rFonts w:ascii="Garamond" w:hAnsi="Garamond"/>
        </w:rPr>
        <w:t xml:space="preserve"> </w:t>
      </w:r>
      <w:r w:rsidR="00F1367D">
        <w:rPr>
          <w:rFonts w:ascii="Garamond" w:hAnsi="Garamond"/>
        </w:rPr>
        <w:t>has</w:t>
      </w:r>
      <w:r w:rsidR="002C6653">
        <w:rPr>
          <w:rFonts w:ascii="Garamond" w:hAnsi="Garamond"/>
        </w:rPr>
        <w:t xml:space="preserve"> </w:t>
      </w:r>
      <w:r w:rsidR="00F84F89">
        <w:rPr>
          <w:rFonts w:ascii="Garamond" w:hAnsi="Garamond"/>
        </w:rPr>
        <w:t xml:space="preserve">generally </w:t>
      </w:r>
      <w:r w:rsidR="005B2BAF">
        <w:rPr>
          <w:rFonts w:ascii="Garamond" w:hAnsi="Garamond"/>
        </w:rPr>
        <w:t>be</w:t>
      </w:r>
      <w:r w:rsidR="00F84F89">
        <w:rPr>
          <w:rFonts w:ascii="Garamond" w:hAnsi="Garamond"/>
        </w:rPr>
        <w:t>en</w:t>
      </w:r>
      <w:r w:rsidR="00CB1F7C">
        <w:rPr>
          <w:rFonts w:ascii="Garamond" w:hAnsi="Garamond"/>
        </w:rPr>
        <w:t xml:space="preserve"> subservient to other</w:t>
      </w:r>
      <w:r w:rsidR="00DE534E">
        <w:rPr>
          <w:rFonts w:ascii="Garamond" w:hAnsi="Garamond"/>
        </w:rPr>
        <w:t xml:space="preserve"> related</w:t>
      </w:r>
      <w:r w:rsidR="00CB1F7C">
        <w:rPr>
          <w:rFonts w:ascii="Garamond" w:hAnsi="Garamond"/>
        </w:rPr>
        <w:t xml:space="preserve"> frames and issues in the study of law</w:t>
      </w:r>
      <w:r w:rsidR="000D4A5B">
        <w:rPr>
          <w:rFonts w:ascii="Garamond" w:hAnsi="Garamond"/>
        </w:rPr>
        <w:t xml:space="preserve"> – </w:t>
      </w:r>
      <w:r w:rsidR="00CB1F7C">
        <w:rPr>
          <w:rFonts w:ascii="Garamond" w:hAnsi="Garamond"/>
        </w:rPr>
        <w:t>such as sustainable development, risk</w:t>
      </w:r>
      <w:r w:rsidR="00FF1131">
        <w:rPr>
          <w:rFonts w:ascii="Garamond" w:hAnsi="Garamond"/>
        </w:rPr>
        <w:t xml:space="preserve">, and </w:t>
      </w:r>
      <w:r w:rsidR="00CB1F7C">
        <w:rPr>
          <w:rFonts w:ascii="Garamond" w:hAnsi="Garamond"/>
        </w:rPr>
        <w:t>intergenerational justice</w:t>
      </w:r>
      <w:r w:rsidR="000D4A5B">
        <w:rPr>
          <w:rFonts w:ascii="Garamond" w:hAnsi="Garamond"/>
        </w:rPr>
        <w:t xml:space="preserve"> – </w:t>
      </w:r>
      <w:r w:rsidR="00307DFB">
        <w:rPr>
          <w:rFonts w:ascii="Garamond" w:hAnsi="Garamond"/>
        </w:rPr>
        <w:t>meaning</w:t>
      </w:r>
      <w:r w:rsidR="005231F9">
        <w:rPr>
          <w:rFonts w:ascii="Garamond" w:hAnsi="Garamond"/>
        </w:rPr>
        <w:t xml:space="preserve"> that</w:t>
      </w:r>
      <w:r w:rsidR="004F37E2">
        <w:rPr>
          <w:rFonts w:ascii="Garamond" w:hAnsi="Garamond"/>
        </w:rPr>
        <w:t xml:space="preserve"> </w:t>
      </w:r>
      <w:r w:rsidR="00CB1F7C">
        <w:rPr>
          <w:rFonts w:ascii="Garamond" w:hAnsi="Garamond"/>
        </w:rPr>
        <w:t xml:space="preserve">futurity </w:t>
      </w:r>
      <w:r w:rsidR="004F37E2">
        <w:rPr>
          <w:rFonts w:ascii="Garamond" w:hAnsi="Garamond"/>
        </w:rPr>
        <w:t>has been</w:t>
      </w:r>
      <w:r w:rsidR="00CB1F7C">
        <w:rPr>
          <w:rFonts w:ascii="Garamond" w:hAnsi="Garamond"/>
        </w:rPr>
        <w:t xml:space="preserve"> poorly tended as a</w:t>
      </w:r>
      <w:r w:rsidR="00CB1F7C" w:rsidRPr="00DE534E">
        <w:rPr>
          <w:rFonts w:ascii="Garamond" w:hAnsi="Garamond"/>
          <w:i/>
          <w:iCs/>
        </w:rPr>
        <w:t xml:space="preserve"> </w:t>
      </w:r>
      <w:r w:rsidR="00DE534E" w:rsidRPr="00DE534E">
        <w:rPr>
          <w:rFonts w:ascii="Garamond" w:hAnsi="Garamond"/>
          <w:i/>
          <w:iCs/>
        </w:rPr>
        <w:t>legal</w:t>
      </w:r>
      <w:r w:rsidR="00DE534E">
        <w:rPr>
          <w:rFonts w:ascii="Garamond" w:hAnsi="Garamond"/>
        </w:rPr>
        <w:t xml:space="preserve"> </w:t>
      </w:r>
      <w:r w:rsidR="00DE534E" w:rsidRPr="00FB315A">
        <w:rPr>
          <w:rFonts w:ascii="Garamond" w:hAnsi="Garamond"/>
        </w:rPr>
        <w:t>problem</w:t>
      </w:r>
      <w:r w:rsidR="001A37E3" w:rsidRPr="00FB315A">
        <w:rPr>
          <w:rFonts w:ascii="Garamond" w:hAnsi="Garamond"/>
        </w:rPr>
        <w:t>.</w:t>
      </w:r>
      <w:r w:rsidR="001A37E3">
        <w:rPr>
          <w:rFonts w:ascii="Garamond" w:hAnsi="Garamond"/>
        </w:rPr>
        <w:t xml:space="preserve">  This is</w:t>
      </w:r>
      <w:r w:rsidR="00A706BA">
        <w:rPr>
          <w:rFonts w:ascii="Garamond" w:hAnsi="Garamond"/>
        </w:rPr>
        <w:t xml:space="preserve"> true of planning law,</w:t>
      </w:r>
      <w:r w:rsidR="001A37E3">
        <w:rPr>
          <w:rFonts w:ascii="Garamond" w:hAnsi="Garamond"/>
        </w:rPr>
        <w:t xml:space="preserve"> the most </w:t>
      </w:r>
      <w:r w:rsidR="007433AB">
        <w:rPr>
          <w:rFonts w:ascii="Garamond" w:hAnsi="Garamond"/>
        </w:rPr>
        <w:t>self-evidently</w:t>
      </w:r>
      <w:r w:rsidR="001A37E3">
        <w:rPr>
          <w:rFonts w:ascii="Garamond" w:hAnsi="Garamond"/>
        </w:rPr>
        <w:t xml:space="preserve"> future-</w:t>
      </w:r>
      <w:r w:rsidR="00E61EC3">
        <w:rPr>
          <w:rFonts w:ascii="Garamond" w:hAnsi="Garamond"/>
        </w:rPr>
        <w:t>oriented</w:t>
      </w:r>
      <w:r w:rsidR="001A37E3">
        <w:rPr>
          <w:rFonts w:ascii="Garamond" w:hAnsi="Garamond"/>
        </w:rPr>
        <w:t xml:space="preserve"> of all the legal </w:t>
      </w:r>
      <w:r w:rsidR="00BA1A69">
        <w:rPr>
          <w:rFonts w:ascii="Garamond" w:hAnsi="Garamond"/>
        </w:rPr>
        <w:t>fields</w:t>
      </w:r>
      <w:r w:rsidR="00B67EC5">
        <w:rPr>
          <w:rFonts w:ascii="Garamond" w:hAnsi="Garamond"/>
        </w:rPr>
        <w:t>.</w:t>
      </w:r>
      <w:r w:rsidR="00B44808">
        <w:rPr>
          <w:rFonts w:ascii="Garamond" w:hAnsi="Garamond"/>
        </w:rPr>
        <w:t xml:space="preserve">  </w:t>
      </w:r>
      <w:r w:rsidR="005862CF">
        <w:rPr>
          <w:rFonts w:ascii="Garamond" w:hAnsi="Garamond"/>
        </w:rPr>
        <w:t>The purpose here</w:t>
      </w:r>
      <w:r w:rsidR="004A13E4">
        <w:rPr>
          <w:rFonts w:ascii="Garamond" w:hAnsi="Garamond"/>
        </w:rPr>
        <w:t xml:space="preserve">, then, </w:t>
      </w:r>
      <w:r w:rsidR="005862CF">
        <w:rPr>
          <w:rFonts w:ascii="Garamond" w:hAnsi="Garamond"/>
        </w:rPr>
        <w:t xml:space="preserve">is to </w:t>
      </w:r>
      <w:r w:rsidR="00302101">
        <w:rPr>
          <w:rFonts w:ascii="Garamond" w:hAnsi="Garamond"/>
        </w:rPr>
        <w:t xml:space="preserve">offer </w:t>
      </w:r>
      <w:r w:rsidR="009B68FD">
        <w:rPr>
          <w:rFonts w:ascii="Garamond" w:hAnsi="Garamond"/>
        </w:rPr>
        <w:t>a means of</w:t>
      </w:r>
      <w:r w:rsidR="005862CF">
        <w:rPr>
          <w:rFonts w:ascii="Garamond" w:hAnsi="Garamond"/>
        </w:rPr>
        <w:t xml:space="preserve"> </w:t>
      </w:r>
      <w:r w:rsidR="00641ACB">
        <w:rPr>
          <w:rFonts w:ascii="Garamond" w:hAnsi="Garamond"/>
        </w:rPr>
        <w:t>fore</w:t>
      </w:r>
      <w:r w:rsidR="00E25991">
        <w:rPr>
          <w:rFonts w:ascii="Garamond" w:hAnsi="Garamond"/>
        </w:rPr>
        <w:t>grounding</w:t>
      </w:r>
      <w:r w:rsidR="009B68FD">
        <w:rPr>
          <w:rFonts w:ascii="Garamond" w:hAnsi="Garamond"/>
        </w:rPr>
        <w:t xml:space="preserve"> </w:t>
      </w:r>
      <w:r w:rsidR="00A95FCF">
        <w:rPr>
          <w:rFonts w:ascii="Garamond" w:hAnsi="Garamond"/>
        </w:rPr>
        <w:t xml:space="preserve">the </w:t>
      </w:r>
      <w:r w:rsidR="000D30D5">
        <w:rPr>
          <w:rFonts w:ascii="Garamond" w:hAnsi="Garamond"/>
        </w:rPr>
        <w:t xml:space="preserve">future-making practices of </w:t>
      </w:r>
      <w:r w:rsidR="00A95FCF">
        <w:rPr>
          <w:rFonts w:ascii="Garamond" w:hAnsi="Garamond"/>
        </w:rPr>
        <w:t>planning law</w:t>
      </w:r>
      <w:r w:rsidR="004E5853">
        <w:rPr>
          <w:rFonts w:ascii="Garamond" w:hAnsi="Garamond"/>
        </w:rPr>
        <w:t xml:space="preserve">, </w:t>
      </w:r>
      <w:r w:rsidR="00852E16">
        <w:rPr>
          <w:rFonts w:ascii="Garamond" w:hAnsi="Garamond"/>
        </w:rPr>
        <w:t xml:space="preserve">so that </w:t>
      </w:r>
      <w:r w:rsidR="00FB21A4">
        <w:rPr>
          <w:rFonts w:ascii="Garamond" w:hAnsi="Garamond"/>
        </w:rPr>
        <w:t xml:space="preserve">closer </w:t>
      </w:r>
      <w:r w:rsidR="00852E16">
        <w:rPr>
          <w:rFonts w:ascii="Garamond" w:hAnsi="Garamond"/>
        </w:rPr>
        <w:t>attention may be paid to</w:t>
      </w:r>
      <w:r w:rsidR="00775BEC">
        <w:rPr>
          <w:rFonts w:ascii="Garamond" w:hAnsi="Garamond"/>
        </w:rPr>
        <w:t xml:space="preserve"> the various ways in which planning law imagines</w:t>
      </w:r>
      <w:r w:rsidR="007E5B0C">
        <w:rPr>
          <w:rFonts w:ascii="Garamond" w:hAnsi="Garamond"/>
        </w:rPr>
        <w:t xml:space="preserve"> and regularises </w:t>
      </w:r>
      <w:r w:rsidR="00D32913">
        <w:rPr>
          <w:rFonts w:ascii="Garamond" w:hAnsi="Garamond"/>
        </w:rPr>
        <w:t xml:space="preserve">certain </w:t>
      </w:r>
      <w:r w:rsidR="00D10380">
        <w:rPr>
          <w:rFonts w:ascii="Garamond" w:hAnsi="Garamond"/>
        </w:rPr>
        <w:t>futures</w:t>
      </w:r>
      <w:r w:rsidR="007402F5">
        <w:rPr>
          <w:rFonts w:ascii="Garamond" w:hAnsi="Garamond"/>
        </w:rPr>
        <w:t xml:space="preserve"> and future possibilities.</w:t>
      </w:r>
      <w:r w:rsidR="00852E16">
        <w:rPr>
          <w:rFonts w:ascii="Garamond" w:hAnsi="Garamond"/>
        </w:rPr>
        <w:t xml:space="preserve"> </w:t>
      </w:r>
      <w:r w:rsidR="00394DEE">
        <w:rPr>
          <w:rFonts w:ascii="Garamond" w:hAnsi="Garamond"/>
        </w:rPr>
        <w:t xml:space="preserve"> </w:t>
      </w:r>
      <w:r w:rsidR="004D37CC">
        <w:rPr>
          <w:rFonts w:ascii="Garamond" w:hAnsi="Garamond"/>
        </w:rPr>
        <w:t xml:space="preserve"> </w:t>
      </w:r>
    </w:p>
    <w:p w14:paraId="6107D3E3" w14:textId="3EFCBA4E" w:rsidR="00D84165" w:rsidRDefault="00D84165" w:rsidP="00E72458">
      <w:pPr>
        <w:spacing w:line="360" w:lineRule="auto"/>
        <w:rPr>
          <w:rFonts w:ascii="Garamond" w:hAnsi="Garamond"/>
        </w:rPr>
      </w:pPr>
    </w:p>
    <w:p w14:paraId="28339E03" w14:textId="0FCA96F6" w:rsidR="0076398C" w:rsidRDefault="002466ED" w:rsidP="00E72458">
      <w:pPr>
        <w:spacing w:line="360" w:lineRule="auto"/>
        <w:rPr>
          <w:rFonts w:ascii="Garamond" w:hAnsi="Garamond"/>
        </w:rPr>
      </w:pPr>
      <w:r>
        <w:rPr>
          <w:rFonts w:ascii="Garamond" w:hAnsi="Garamond"/>
        </w:rPr>
        <w:t xml:space="preserve">A ‘futurescapes’ framework </w:t>
      </w:r>
      <w:r w:rsidR="009B5AC1">
        <w:rPr>
          <w:rFonts w:ascii="Garamond" w:hAnsi="Garamond"/>
        </w:rPr>
        <w:t>adapted from the work of social theorist Barbara Adam</w:t>
      </w:r>
      <w:r w:rsidR="00D4772C">
        <w:rPr>
          <w:rFonts w:ascii="Garamond" w:hAnsi="Garamond"/>
        </w:rPr>
        <w:t xml:space="preserve"> brings </w:t>
      </w:r>
      <w:r w:rsidR="006A3CBD">
        <w:rPr>
          <w:rFonts w:ascii="Garamond" w:hAnsi="Garamond"/>
        </w:rPr>
        <w:t>a</w:t>
      </w:r>
      <w:r w:rsidR="004A13E4">
        <w:rPr>
          <w:rFonts w:ascii="Garamond" w:hAnsi="Garamond"/>
        </w:rPr>
        <w:t xml:space="preserve"> heightened </w:t>
      </w:r>
      <w:r w:rsidR="006A3CBD">
        <w:rPr>
          <w:rFonts w:ascii="Garamond" w:hAnsi="Garamond"/>
        </w:rPr>
        <w:t xml:space="preserve">sensitivity to </w:t>
      </w:r>
      <w:r w:rsidR="008165A0">
        <w:rPr>
          <w:rFonts w:ascii="Garamond" w:hAnsi="Garamond"/>
        </w:rPr>
        <w:t>the traces of futurity in law</w:t>
      </w:r>
      <w:r w:rsidR="00BE1219">
        <w:rPr>
          <w:rFonts w:ascii="Garamond" w:hAnsi="Garamond"/>
        </w:rPr>
        <w:t xml:space="preserve">, </w:t>
      </w:r>
      <w:r w:rsidR="008B78A7">
        <w:rPr>
          <w:rFonts w:ascii="Garamond" w:hAnsi="Garamond"/>
        </w:rPr>
        <w:t>and to the futures rendered meaningful in distinctively legal ways.</w:t>
      </w:r>
      <w:r w:rsidR="00892E7D">
        <w:rPr>
          <w:rFonts w:ascii="Garamond" w:hAnsi="Garamond"/>
        </w:rPr>
        <w:t xml:space="preserve">  </w:t>
      </w:r>
      <w:r w:rsidR="00DC717C">
        <w:rPr>
          <w:rFonts w:ascii="Garamond" w:hAnsi="Garamond"/>
        </w:rPr>
        <w:t>One of the important qualities of the relationship between planning law and the future is that it can appear inert</w:t>
      </w:r>
      <w:r w:rsidR="00F55FB9">
        <w:rPr>
          <w:rFonts w:ascii="Garamond" w:hAnsi="Garamond"/>
        </w:rPr>
        <w:t xml:space="preserve"> </w:t>
      </w:r>
      <w:r w:rsidR="00DC717C">
        <w:rPr>
          <w:rFonts w:ascii="Garamond" w:hAnsi="Garamond"/>
        </w:rPr>
        <w:t>and pregiven</w:t>
      </w:r>
      <w:r w:rsidR="00843B2F">
        <w:rPr>
          <w:rFonts w:ascii="Garamond" w:hAnsi="Garamond"/>
        </w:rPr>
        <w:t xml:space="preserve"> – simply part of the order of things and not up for debate.  Yet </w:t>
      </w:r>
      <w:r w:rsidR="002705AF">
        <w:rPr>
          <w:rFonts w:ascii="Garamond" w:hAnsi="Garamond"/>
        </w:rPr>
        <w:t>that</w:t>
      </w:r>
      <w:r w:rsidR="00843B2F">
        <w:rPr>
          <w:rFonts w:ascii="Garamond" w:hAnsi="Garamond"/>
        </w:rPr>
        <w:t xml:space="preserve"> obscures the difference that law makes in actively producing the future rather than just passively encountering it.  An advantage of a futurescapes approach is that it can be used to examine legal future-making in terms of specific mod</w:t>
      </w:r>
      <w:r w:rsidR="00E1476F">
        <w:rPr>
          <w:rFonts w:ascii="Garamond" w:hAnsi="Garamond"/>
        </w:rPr>
        <w:t>es</w:t>
      </w:r>
      <w:r w:rsidR="00843B2F">
        <w:rPr>
          <w:rFonts w:ascii="Garamond" w:hAnsi="Garamond"/>
        </w:rPr>
        <w:t xml:space="preserve"> – for example, the timeframes, temporalities, tempos, timings and time sequences of planning law that shape how futures are anticipated</w:t>
      </w:r>
      <w:r w:rsidR="00C97B41">
        <w:rPr>
          <w:rFonts w:ascii="Garamond" w:hAnsi="Garamond"/>
        </w:rPr>
        <w:t xml:space="preserve"> and</w:t>
      </w:r>
      <w:r w:rsidR="00E37725">
        <w:rPr>
          <w:rFonts w:ascii="Garamond" w:hAnsi="Garamond"/>
        </w:rPr>
        <w:t xml:space="preserve"> ‘</w:t>
      </w:r>
      <w:r w:rsidR="00E37725" w:rsidRPr="00E37725">
        <w:rPr>
          <w:rFonts w:ascii="Garamond" w:hAnsi="Garamond"/>
          <w:i/>
          <w:iCs/>
        </w:rPr>
        <w:t>lived and felt</w:t>
      </w:r>
      <w:r w:rsidR="00E37725">
        <w:rPr>
          <w:rFonts w:ascii="Garamond" w:hAnsi="Garamond"/>
        </w:rPr>
        <w:t xml:space="preserve"> as inevitable’</w:t>
      </w:r>
      <w:r w:rsidR="00FF1131">
        <w:rPr>
          <w:rFonts w:ascii="Garamond" w:hAnsi="Garamond"/>
        </w:rPr>
        <w:t>.</w:t>
      </w:r>
      <w:r w:rsidR="00E37725">
        <w:rPr>
          <w:rStyle w:val="EndnoteReference"/>
          <w:rFonts w:ascii="Garamond" w:hAnsi="Garamond"/>
        </w:rPr>
        <w:endnoteReference w:id="15"/>
      </w:r>
      <w:r w:rsidR="00FF1131">
        <w:rPr>
          <w:rFonts w:ascii="Garamond" w:hAnsi="Garamond"/>
        </w:rPr>
        <w:t xml:space="preserve">  </w:t>
      </w:r>
      <w:r w:rsidR="00843B2F">
        <w:rPr>
          <w:rFonts w:ascii="Garamond" w:hAnsi="Garamond"/>
        </w:rPr>
        <w:t xml:space="preserve">The approach also helps to illustrate that </w:t>
      </w:r>
      <w:r w:rsidR="0034277D">
        <w:rPr>
          <w:rFonts w:ascii="Garamond" w:hAnsi="Garamond"/>
        </w:rPr>
        <w:t>while</w:t>
      </w:r>
      <w:r w:rsidR="00843B2F">
        <w:rPr>
          <w:rFonts w:ascii="Garamond" w:hAnsi="Garamond"/>
        </w:rPr>
        <w:t xml:space="preserve"> planning law is always ‘futural’, it is not uniformly or consistently so.</w:t>
      </w:r>
      <w:r w:rsidR="00A6764F">
        <w:rPr>
          <w:rFonts w:ascii="Garamond" w:hAnsi="Garamond"/>
        </w:rPr>
        <w:t xml:space="preserve">  </w:t>
      </w:r>
      <w:r w:rsidR="0034277D">
        <w:rPr>
          <w:rFonts w:ascii="Garamond" w:hAnsi="Garamond"/>
        </w:rPr>
        <w:t>The</w:t>
      </w:r>
      <w:r w:rsidR="00CE560F">
        <w:rPr>
          <w:rFonts w:ascii="Garamond" w:hAnsi="Garamond"/>
        </w:rPr>
        <w:t xml:space="preserve"> relationship</w:t>
      </w:r>
      <w:r w:rsidR="00FE1899">
        <w:rPr>
          <w:rFonts w:ascii="Garamond" w:hAnsi="Garamond"/>
        </w:rPr>
        <w:t xml:space="preserve"> is dynamic and</w:t>
      </w:r>
      <w:r w:rsidR="00A850EC">
        <w:rPr>
          <w:rFonts w:ascii="Garamond" w:hAnsi="Garamond"/>
        </w:rPr>
        <w:t xml:space="preserve"> manifests itself in many ways</w:t>
      </w:r>
      <w:r w:rsidR="00706C1B">
        <w:rPr>
          <w:rFonts w:ascii="Garamond" w:hAnsi="Garamond"/>
        </w:rPr>
        <w:t>, through different combinations</w:t>
      </w:r>
      <w:r w:rsidR="00E1476F">
        <w:rPr>
          <w:rFonts w:ascii="Garamond" w:hAnsi="Garamond"/>
        </w:rPr>
        <w:t xml:space="preserve"> of temporal </w:t>
      </w:r>
      <w:r w:rsidR="0034277D">
        <w:rPr>
          <w:rFonts w:ascii="Garamond" w:hAnsi="Garamond"/>
        </w:rPr>
        <w:t>structures and processes</w:t>
      </w:r>
      <w:r w:rsidR="002705AF">
        <w:rPr>
          <w:rFonts w:ascii="Garamond" w:hAnsi="Garamond"/>
        </w:rPr>
        <w:t xml:space="preserve">, and this is </w:t>
      </w:r>
      <w:r w:rsidR="00475D8B">
        <w:rPr>
          <w:rFonts w:ascii="Garamond" w:hAnsi="Garamond"/>
        </w:rPr>
        <w:t>fundamental</w:t>
      </w:r>
      <w:r w:rsidR="00B758A5">
        <w:rPr>
          <w:rFonts w:ascii="Garamond" w:hAnsi="Garamond"/>
        </w:rPr>
        <w:t xml:space="preserve"> to</w:t>
      </w:r>
      <w:r w:rsidR="00CE560F">
        <w:rPr>
          <w:rFonts w:ascii="Garamond" w:hAnsi="Garamond"/>
        </w:rPr>
        <w:t xml:space="preserve"> the effects that law </w:t>
      </w:r>
      <w:r w:rsidR="002705AF">
        <w:rPr>
          <w:rFonts w:ascii="Garamond" w:hAnsi="Garamond"/>
        </w:rPr>
        <w:t>is able to</w:t>
      </w:r>
      <w:r w:rsidR="00CE560F">
        <w:rPr>
          <w:rFonts w:ascii="Garamond" w:hAnsi="Garamond"/>
        </w:rPr>
        <w:t xml:space="preserve"> </w:t>
      </w:r>
      <w:r w:rsidR="002705AF">
        <w:rPr>
          <w:rFonts w:ascii="Garamond" w:hAnsi="Garamond"/>
        </w:rPr>
        <w:t>achieve</w:t>
      </w:r>
      <w:r w:rsidR="00B758A5">
        <w:rPr>
          <w:rFonts w:ascii="Garamond" w:hAnsi="Garamond"/>
        </w:rPr>
        <w:t xml:space="preserve"> in the </w:t>
      </w:r>
      <w:r w:rsidR="007F36CE">
        <w:rPr>
          <w:rFonts w:ascii="Garamond" w:hAnsi="Garamond"/>
        </w:rPr>
        <w:t>present.</w:t>
      </w:r>
      <w:r w:rsidR="0059159C">
        <w:rPr>
          <w:rFonts w:ascii="Garamond" w:hAnsi="Garamond"/>
        </w:rPr>
        <w:t xml:space="preserve">  </w:t>
      </w:r>
      <w:r w:rsidR="004E3535">
        <w:rPr>
          <w:rFonts w:ascii="Garamond" w:hAnsi="Garamond"/>
        </w:rPr>
        <w:t>To</w:t>
      </w:r>
      <w:r w:rsidR="00737637">
        <w:rPr>
          <w:rFonts w:ascii="Garamond" w:hAnsi="Garamond"/>
        </w:rPr>
        <w:t xml:space="preserve"> begin to </w:t>
      </w:r>
      <w:r w:rsidR="004E3535">
        <w:rPr>
          <w:rFonts w:ascii="Garamond" w:hAnsi="Garamond"/>
        </w:rPr>
        <w:t>address these issues</w:t>
      </w:r>
      <w:r w:rsidR="002705AF">
        <w:rPr>
          <w:rFonts w:ascii="Garamond" w:hAnsi="Garamond"/>
        </w:rPr>
        <w:t xml:space="preserve">, </w:t>
      </w:r>
      <w:r w:rsidR="00B7664C">
        <w:rPr>
          <w:rFonts w:ascii="Garamond" w:hAnsi="Garamond"/>
        </w:rPr>
        <w:t xml:space="preserve">the chapter </w:t>
      </w:r>
      <w:r w:rsidR="002705AF">
        <w:rPr>
          <w:rFonts w:ascii="Garamond" w:hAnsi="Garamond"/>
        </w:rPr>
        <w:t xml:space="preserve">draws on </w:t>
      </w:r>
      <w:r w:rsidR="00A928BC">
        <w:rPr>
          <w:rFonts w:ascii="Garamond" w:hAnsi="Garamond"/>
        </w:rPr>
        <w:t xml:space="preserve">two specific </w:t>
      </w:r>
      <w:r w:rsidR="002705AF">
        <w:rPr>
          <w:rFonts w:ascii="Garamond" w:hAnsi="Garamond"/>
        </w:rPr>
        <w:t xml:space="preserve">aspects of English </w:t>
      </w:r>
      <w:r w:rsidR="002705AF">
        <w:rPr>
          <w:rFonts w:ascii="Garamond" w:hAnsi="Garamond"/>
        </w:rPr>
        <w:lastRenderedPageBreak/>
        <w:t>planning law</w:t>
      </w:r>
      <w:r w:rsidR="0076398C">
        <w:rPr>
          <w:rFonts w:ascii="Garamond" w:hAnsi="Garamond"/>
        </w:rPr>
        <w:t xml:space="preserve"> </w:t>
      </w:r>
      <w:r w:rsidR="004E3535">
        <w:rPr>
          <w:rFonts w:ascii="Garamond" w:hAnsi="Garamond"/>
        </w:rPr>
        <w:t>that apply to the onshore exploration and development of unconventional oil and gas</w:t>
      </w:r>
      <w:r w:rsidR="00A928BC">
        <w:rPr>
          <w:rFonts w:ascii="Garamond" w:hAnsi="Garamond"/>
        </w:rPr>
        <w:t>: the application of local development plans</w:t>
      </w:r>
      <w:r w:rsidR="004A4FC4">
        <w:rPr>
          <w:rFonts w:ascii="Garamond" w:hAnsi="Garamond"/>
        </w:rPr>
        <w:t>;</w:t>
      </w:r>
      <w:r w:rsidR="00A928BC">
        <w:rPr>
          <w:rFonts w:ascii="Garamond" w:hAnsi="Garamond"/>
        </w:rPr>
        <w:t xml:space="preserve"> and the Secretary of State’s statutory powers to call-in planning applications and recover planning appeals.</w:t>
      </w:r>
    </w:p>
    <w:p w14:paraId="49EC2639" w14:textId="77777777" w:rsidR="0052521B" w:rsidRDefault="0052521B" w:rsidP="00E72458">
      <w:pPr>
        <w:spacing w:line="360" w:lineRule="auto"/>
        <w:rPr>
          <w:rFonts w:ascii="Garamond" w:hAnsi="Garamond"/>
        </w:rPr>
      </w:pPr>
    </w:p>
    <w:p w14:paraId="710C92C1" w14:textId="752A588B" w:rsidR="005862CF" w:rsidRPr="00723341" w:rsidRDefault="00587BEC" w:rsidP="00E72458">
      <w:pPr>
        <w:spacing w:line="360" w:lineRule="auto"/>
        <w:jc w:val="center"/>
        <w:rPr>
          <w:rFonts w:ascii="Garamond" w:hAnsi="Garamond"/>
          <w:b/>
          <w:bCs/>
          <w:sz w:val="28"/>
          <w:szCs w:val="28"/>
        </w:rPr>
      </w:pPr>
      <w:r>
        <w:rPr>
          <w:rFonts w:ascii="Garamond" w:hAnsi="Garamond"/>
          <w:b/>
          <w:bCs/>
          <w:sz w:val="28"/>
          <w:szCs w:val="28"/>
        </w:rPr>
        <w:t>About Time:</w:t>
      </w:r>
      <w:r w:rsidR="007E6435">
        <w:rPr>
          <w:rFonts w:ascii="Garamond" w:hAnsi="Garamond"/>
          <w:b/>
          <w:bCs/>
          <w:sz w:val="28"/>
          <w:szCs w:val="28"/>
        </w:rPr>
        <w:t xml:space="preserve"> </w:t>
      </w:r>
      <w:r w:rsidR="005862CF" w:rsidRPr="00723341">
        <w:rPr>
          <w:rFonts w:ascii="Garamond" w:hAnsi="Garamond"/>
          <w:b/>
          <w:bCs/>
          <w:sz w:val="28"/>
          <w:szCs w:val="28"/>
        </w:rPr>
        <w:t>Futures</w:t>
      </w:r>
      <w:r w:rsidR="00A220F3" w:rsidRPr="00723341">
        <w:rPr>
          <w:rFonts w:ascii="Garamond" w:hAnsi="Garamond"/>
          <w:b/>
          <w:bCs/>
          <w:sz w:val="28"/>
          <w:szCs w:val="28"/>
        </w:rPr>
        <w:t xml:space="preserve"> Theory</w:t>
      </w:r>
      <w:r w:rsidR="00792AA8">
        <w:rPr>
          <w:rFonts w:ascii="Garamond" w:hAnsi="Garamond"/>
          <w:b/>
          <w:bCs/>
          <w:sz w:val="28"/>
          <w:szCs w:val="28"/>
        </w:rPr>
        <w:t xml:space="preserve"> and Law</w:t>
      </w:r>
    </w:p>
    <w:p w14:paraId="29C57339" w14:textId="51B89AFE" w:rsidR="003C345D" w:rsidRDefault="003728C5" w:rsidP="00E72458">
      <w:pPr>
        <w:spacing w:line="360" w:lineRule="auto"/>
        <w:rPr>
          <w:rFonts w:ascii="Garamond" w:hAnsi="Garamond"/>
        </w:rPr>
      </w:pPr>
      <w:r>
        <w:rPr>
          <w:rFonts w:ascii="Garamond" w:hAnsi="Garamond"/>
        </w:rPr>
        <w:t xml:space="preserve">Law is </w:t>
      </w:r>
      <w:r w:rsidR="00880155">
        <w:rPr>
          <w:rFonts w:ascii="Garamond" w:hAnsi="Garamond"/>
        </w:rPr>
        <w:t>sometimes</w:t>
      </w:r>
      <w:r>
        <w:rPr>
          <w:rFonts w:ascii="Garamond" w:hAnsi="Garamond"/>
        </w:rPr>
        <w:t xml:space="preserve"> depicted as </w:t>
      </w:r>
      <w:r w:rsidR="00F87E3E">
        <w:rPr>
          <w:rFonts w:ascii="Garamond" w:hAnsi="Garamond"/>
        </w:rPr>
        <w:t>the ultimate</w:t>
      </w:r>
      <w:r>
        <w:rPr>
          <w:rFonts w:ascii="Garamond" w:hAnsi="Garamond"/>
        </w:rPr>
        <w:t xml:space="preserve"> custodian</w:t>
      </w:r>
      <w:r w:rsidR="00F87E3E">
        <w:rPr>
          <w:rFonts w:ascii="Garamond" w:hAnsi="Garamond"/>
        </w:rPr>
        <w:t xml:space="preserve"> or venerator</w:t>
      </w:r>
      <w:r>
        <w:rPr>
          <w:rFonts w:ascii="Garamond" w:hAnsi="Garamond"/>
        </w:rPr>
        <w:t xml:space="preserve"> of the past,</w:t>
      </w:r>
      <w:r w:rsidR="00880155">
        <w:rPr>
          <w:rStyle w:val="EndnoteReference"/>
          <w:rFonts w:ascii="Garamond" w:hAnsi="Garamond"/>
        </w:rPr>
        <w:endnoteReference w:id="16"/>
      </w:r>
      <w:r>
        <w:rPr>
          <w:rFonts w:ascii="Garamond" w:hAnsi="Garamond"/>
        </w:rPr>
        <w:t xml:space="preserve"> especially in common law jurisdictions </w:t>
      </w:r>
      <w:r w:rsidR="00F87E3E">
        <w:rPr>
          <w:rFonts w:ascii="Garamond" w:hAnsi="Garamond"/>
        </w:rPr>
        <w:t xml:space="preserve">where </w:t>
      </w:r>
      <w:r w:rsidR="008A2738">
        <w:rPr>
          <w:rFonts w:ascii="Garamond" w:hAnsi="Garamond"/>
        </w:rPr>
        <w:t xml:space="preserve">the </w:t>
      </w:r>
      <w:r w:rsidR="009561EA">
        <w:rPr>
          <w:rFonts w:ascii="Garamond" w:hAnsi="Garamond"/>
        </w:rPr>
        <w:t>invocation</w:t>
      </w:r>
      <w:r w:rsidR="008A2738">
        <w:rPr>
          <w:rFonts w:ascii="Garamond" w:hAnsi="Garamond"/>
        </w:rPr>
        <w:t xml:space="preserve"> of</w:t>
      </w:r>
      <w:r w:rsidR="00F87E3E">
        <w:rPr>
          <w:rFonts w:ascii="Garamond" w:hAnsi="Garamond"/>
        </w:rPr>
        <w:t xml:space="preserve"> precedent ‘perpetually reclaims the past for the present’.</w:t>
      </w:r>
      <w:r w:rsidR="00F87E3E">
        <w:rPr>
          <w:rStyle w:val="EndnoteReference"/>
          <w:rFonts w:ascii="Garamond" w:hAnsi="Garamond"/>
        </w:rPr>
        <w:endnoteReference w:id="17"/>
      </w:r>
      <w:r w:rsidR="0006021A">
        <w:rPr>
          <w:rFonts w:ascii="Garamond" w:hAnsi="Garamond"/>
        </w:rPr>
        <w:t xml:space="preserve">  Examples of</w:t>
      </w:r>
      <w:r w:rsidR="00AF253E">
        <w:rPr>
          <w:rFonts w:ascii="Garamond" w:hAnsi="Garamond"/>
        </w:rPr>
        <w:t xml:space="preserve"> law’s path dependence, status quo bias and respect for tradition, for example, have tended to</w:t>
      </w:r>
      <w:r w:rsidR="00772BAF">
        <w:rPr>
          <w:rFonts w:ascii="Garamond" w:hAnsi="Garamond"/>
        </w:rPr>
        <w:t xml:space="preserve"> </w:t>
      </w:r>
      <w:r w:rsidR="0006021A">
        <w:rPr>
          <w:rFonts w:ascii="Garamond" w:hAnsi="Garamond"/>
        </w:rPr>
        <w:t>feed</w:t>
      </w:r>
      <w:r w:rsidR="00772BAF">
        <w:rPr>
          <w:rFonts w:ascii="Garamond" w:hAnsi="Garamond"/>
        </w:rPr>
        <w:t xml:space="preserve"> overgeneralised claims, however, </w:t>
      </w:r>
      <w:r w:rsidR="00BB1748">
        <w:rPr>
          <w:rFonts w:ascii="Garamond" w:hAnsi="Garamond"/>
        </w:rPr>
        <w:t>that</w:t>
      </w:r>
      <w:r w:rsidR="00AF253E">
        <w:rPr>
          <w:rFonts w:ascii="Garamond" w:hAnsi="Garamond"/>
        </w:rPr>
        <w:t xml:space="preserve"> </w:t>
      </w:r>
      <w:r w:rsidR="00772BAF">
        <w:rPr>
          <w:rFonts w:ascii="Garamond" w:hAnsi="Garamond"/>
        </w:rPr>
        <w:t xml:space="preserve">law </w:t>
      </w:r>
      <w:r w:rsidR="00BB1748">
        <w:rPr>
          <w:rFonts w:ascii="Garamond" w:hAnsi="Garamond"/>
        </w:rPr>
        <w:t xml:space="preserve">is </w:t>
      </w:r>
      <w:r w:rsidR="00772BAF">
        <w:rPr>
          <w:rFonts w:ascii="Garamond" w:hAnsi="Garamond"/>
        </w:rPr>
        <w:t xml:space="preserve">innately </w:t>
      </w:r>
      <w:r w:rsidR="00AF253E">
        <w:rPr>
          <w:rFonts w:ascii="Garamond" w:hAnsi="Garamond"/>
        </w:rPr>
        <w:t>past-oriented.</w:t>
      </w:r>
      <w:r w:rsidR="00772BAF">
        <w:rPr>
          <w:rFonts w:ascii="Garamond" w:hAnsi="Garamond"/>
        </w:rPr>
        <w:t xml:space="preserve">  So much so that it can</w:t>
      </w:r>
      <w:r w:rsidR="00F3438A">
        <w:rPr>
          <w:rFonts w:ascii="Garamond" w:hAnsi="Garamond"/>
        </w:rPr>
        <w:t xml:space="preserve"> be</w:t>
      </w:r>
      <w:r w:rsidR="00772BAF">
        <w:rPr>
          <w:rFonts w:ascii="Garamond" w:hAnsi="Garamond"/>
        </w:rPr>
        <w:t xml:space="preserve"> difficult to avoid resorting to </w:t>
      </w:r>
      <w:r w:rsidR="00BB1748">
        <w:rPr>
          <w:rFonts w:ascii="Garamond" w:hAnsi="Garamond"/>
        </w:rPr>
        <w:t>platitudes about law being backward-looking, nostalgic even, and too slow to keep pace with social transformation.</w:t>
      </w:r>
      <w:r w:rsidR="009B30E2">
        <w:rPr>
          <w:rStyle w:val="EndnoteReference"/>
          <w:rFonts w:ascii="Garamond" w:hAnsi="Garamond"/>
        </w:rPr>
        <w:endnoteReference w:id="18"/>
      </w:r>
      <w:r w:rsidR="00EF79D4">
        <w:rPr>
          <w:rFonts w:ascii="Garamond" w:hAnsi="Garamond"/>
        </w:rPr>
        <w:t xml:space="preserve">  I </w:t>
      </w:r>
      <w:r w:rsidR="009939A8">
        <w:rPr>
          <w:rFonts w:ascii="Garamond" w:hAnsi="Garamond"/>
        </w:rPr>
        <w:t xml:space="preserve">too </w:t>
      </w:r>
      <w:r w:rsidR="00EF79D4">
        <w:rPr>
          <w:rFonts w:ascii="Garamond" w:hAnsi="Garamond"/>
        </w:rPr>
        <w:t xml:space="preserve">have </w:t>
      </w:r>
      <w:r w:rsidR="00672E6E">
        <w:rPr>
          <w:rFonts w:ascii="Garamond" w:hAnsi="Garamond"/>
        </w:rPr>
        <w:t xml:space="preserve">used </w:t>
      </w:r>
      <w:r w:rsidR="00CF0B36">
        <w:rPr>
          <w:rFonts w:ascii="Garamond" w:hAnsi="Garamond"/>
        </w:rPr>
        <w:t>such</w:t>
      </w:r>
      <w:r w:rsidR="00672E6E">
        <w:rPr>
          <w:rFonts w:ascii="Garamond" w:hAnsi="Garamond"/>
        </w:rPr>
        <w:t xml:space="preserve"> </w:t>
      </w:r>
      <w:r w:rsidR="00CF0B36">
        <w:rPr>
          <w:rFonts w:ascii="Garamond" w:hAnsi="Garamond"/>
        </w:rPr>
        <w:t>caricatures</w:t>
      </w:r>
      <w:r w:rsidR="00672E6E">
        <w:rPr>
          <w:rFonts w:ascii="Garamond" w:hAnsi="Garamond"/>
        </w:rPr>
        <w:t xml:space="preserve"> in my research and teaching</w:t>
      </w:r>
      <w:r w:rsidR="00CF0B36">
        <w:rPr>
          <w:rFonts w:ascii="Garamond" w:hAnsi="Garamond"/>
        </w:rPr>
        <w:t>, because</w:t>
      </w:r>
      <w:r w:rsidR="003E79D8">
        <w:rPr>
          <w:rFonts w:ascii="Garamond" w:hAnsi="Garamond"/>
        </w:rPr>
        <w:t xml:space="preserve"> even though they leave </w:t>
      </w:r>
      <w:r w:rsidR="00A42BFB">
        <w:rPr>
          <w:rFonts w:ascii="Garamond" w:hAnsi="Garamond"/>
        </w:rPr>
        <w:t>little</w:t>
      </w:r>
      <w:r w:rsidR="003E79D8">
        <w:rPr>
          <w:rFonts w:ascii="Garamond" w:hAnsi="Garamond"/>
        </w:rPr>
        <w:t xml:space="preserve"> </w:t>
      </w:r>
      <w:r w:rsidR="008E5B7C">
        <w:rPr>
          <w:rFonts w:ascii="Garamond" w:hAnsi="Garamond"/>
        </w:rPr>
        <w:t>room</w:t>
      </w:r>
      <w:r w:rsidR="003E79D8">
        <w:rPr>
          <w:rFonts w:ascii="Garamond" w:hAnsi="Garamond"/>
        </w:rPr>
        <w:t xml:space="preserve"> for complexity, </w:t>
      </w:r>
      <w:r w:rsidR="00CF0B36">
        <w:rPr>
          <w:rFonts w:ascii="Garamond" w:hAnsi="Garamond"/>
        </w:rPr>
        <w:t xml:space="preserve">they have at least </w:t>
      </w:r>
      <w:r w:rsidR="0022599C">
        <w:rPr>
          <w:rFonts w:ascii="Garamond" w:hAnsi="Garamond"/>
        </w:rPr>
        <w:t>a</w:t>
      </w:r>
      <w:r w:rsidR="00CF0B36">
        <w:rPr>
          <w:rFonts w:ascii="Garamond" w:hAnsi="Garamond"/>
        </w:rPr>
        <w:t xml:space="preserve"> ring of truth</w:t>
      </w:r>
      <w:r w:rsidR="00783094">
        <w:rPr>
          <w:rFonts w:ascii="Garamond" w:hAnsi="Garamond"/>
        </w:rPr>
        <w:t>.</w:t>
      </w:r>
      <w:r w:rsidR="003E79D8">
        <w:rPr>
          <w:rFonts w:ascii="Garamond" w:hAnsi="Garamond"/>
        </w:rPr>
        <w:t xml:space="preserve">  Ask any</w:t>
      </w:r>
      <w:r w:rsidR="00A853C9">
        <w:rPr>
          <w:rFonts w:ascii="Garamond" w:hAnsi="Garamond"/>
        </w:rPr>
        <w:t xml:space="preserve"> law student to describe the </w:t>
      </w:r>
      <w:r w:rsidR="00A42BFB">
        <w:rPr>
          <w:rFonts w:ascii="Garamond" w:hAnsi="Garamond"/>
        </w:rPr>
        <w:t>discipline</w:t>
      </w:r>
      <w:r w:rsidR="00486C5C">
        <w:rPr>
          <w:rFonts w:ascii="Garamond" w:hAnsi="Garamond"/>
        </w:rPr>
        <w:t xml:space="preserve">, and it is unlikely that they would respond with </w:t>
      </w:r>
      <w:r w:rsidR="00E86A65">
        <w:rPr>
          <w:rFonts w:ascii="Garamond" w:hAnsi="Garamond"/>
        </w:rPr>
        <w:t xml:space="preserve">‘progressive’, </w:t>
      </w:r>
      <w:r w:rsidR="00486C5C">
        <w:rPr>
          <w:rFonts w:ascii="Garamond" w:hAnsi="Garamond"/>
        </w:rPr>
        <w:t>‘innovative’</w:t>
      </w:r>
      <w:r w:rsidR="00E86A65">
        <w:rPr>
          <w:rFonts w:ascii="Garamond" w:hAnsi="Garamond"/>
        </w:rPr>
        <w:t xml:space="preserve"> or ‘modern’.</w:t>
      </w:r>
      <w:r w:rsidR="00B6200E">
        <w:rPr>
          <w:rFonts w:ascii="Garamond" w:hAnsi="Garamond"/>
        </w:rPr>
        <w:t xml:space="preserve">  Still,</w:t>
      </w:r>
      <w:r w:rsidR="009939A8">
        <w:rPr>
          <w:rFonts w:ascii="Garamond" w:hAnsi="Garamond"/>
        </w:rPr>
        <w:t xml:space="preserve"> these ideas </w:t>
      </w:r>
      <w:r w:rsidR="0067008B">
        <w:rPr>
          <w:rFonts w:ascii="Garamond" w:hAnsi="Garamond"/>
        </w:rPr>
        <w:t xml:space="preserve">are in danger of overestimating the importance of the past </w:t>
      </w:r>
      <w:r w:rsidR="006475FA">
        <w:rPr>
          <w:rFonts w:ascii="Garamond" w:hAnsi="Garamond"/>
        </w:rPr>
        <w:t>in law</w:t>
      </w:r>
      <w:r w:rsidR="00E667AE">
        <w:rPr>
          <w:rFonts w:ascii="Garamond" w:hAnsi="Garamond"/>
        </w:rPr>
        <w:t>.</w:t>
      </w:r>
      <w:r w:rsidR="006475FA">
        <w:rPr>
          <w:rStyle w:val="EndnoteReference"/>
          <w:rFonts w:ascii="Garamond" w:hAnsi="Garamond"/>
        </w:rPr>
        <w:endnoteReference w:id="19"/>
      </w:r>
      <w:r w:rsidR="0096040A">
        <w:rPr>
          <w:rFonts w:ascii="Garamond" w:hAnsi="Garamond"/>
        </w:rPr>
        <w:t xml:space="preserve">  One </w:t>
      </w:r>
      <w:r w:rsidR="00C35B1D">
        <w:rPr>
          <w:rFonts w:ascii="Garamond" w:hAnsi="Garamond"/>
        </w:rPr>
        <w:t>consequence of t</w:t>
      </w:r>
      <w:r w:rsidR="00B743B8">
        <w:rPr>
          <w:rFonts w:ascii="Garamond" w:hAnsi="Garamond"/>
        </w:rPr>
        <w:t>h</w:t>
      </w:r>
      <w:r w:rsidR="003C345D">
        <w:rPr>
          <w:rFonts w:ascii="Garamond" w:hAnsi="Garamond"/>
        </w:rPr>
        <w:t>e</w:t>
      </w:r>
      <w:r w:rsidR="00B743B8">
        <w:rPr>
          <w:rFonts w:ascii="Garamond" w:hAnsi="Garamond"/>
        </w:rPr>
        <w:t xml:space="preserve"> </w:t>
      </w:r>
      <w:r w:rsidR="00F33B00">
        <w:rPr>
          <w:rFonts w:ascii="Garamond" w:hAnsi="Garamond"/>
        </w:rPr>
        <w:t>prominence of</w:t>
      </w:r>
      <w:r w:rsidR="003C345D">
        <w:rPr>
          <w:rFonts w:ascii="Garamond" w:hAnsi="Garamond"/>
        </w:rPr>
        <w:t xml:space="preserve"> historical time</w:t>
      </w:r>
      <w:r w:rsidR="000E1049">
        <w:rPr>
          <w:rFonts w:ascii="Garamond" w:hAnsi="Garamond"/>
        </w:rPr>
        <w:t xml:space="preserve"> is that the problem of the future </w:t>
      </w:r>
      <w:r w:rsidR="0096040A">
        <w:rPr>
          <w:rFonts w:ascii="Garamond" w:hAnsi="Garamond"/>
        </w:rPr>
        <w:t xml:space="preserve">tends to have been </w:t>
      </w:r>
      <w:r w:rsidR="008D424C">
        <w:rPr>
          <w:rFonts w:ascii="Garamond" w:hAnsi="Garamond"/>
        </w:rPr>
        <w:t>overlooked</w:t>
      </w:r>
      <w:r w:rsidR="000E1049">
        <w:rPr>
          <w:rFonts w:ascii="Garamond" w:hAnsi="Garamond"/>
        </w:rPr>
        <w:t>.</w:t>
      </w:r>
      <w:r w:rsidR="0096040A">
        <w:rPr>
          <w:rStyle w:val="EndnoteReference"/>
          <w:rFonts w:ascii="Garamond" w:hAnsi="Garamond"/>
        </w:rPr>
        <w:endnoteReference w:id="20"/>
      </w:r>
    </w:p>
    <w:p w14:paraId="0991B236" w14:textId="77777777" w:rsidR="004C04F8" w:rsidRDefault="004C04F8" w:rsidP="00E72458">
      <w:pPr>
        <w:spacing w:line="360" w:lineRule="auto"/>
        <w:rPr>
          <w:rFonts w:ascii="Garamond" w:hAnsi="Garamond"/>
        </w:rPr>
      </w:pPr>
    </w:p>
    <w:p w14:paraId="10B1133D" w14:textId="35FC93F3" w:rsidR="00317442" w:rsidRDefault="008D424C" w:rsidP="00E72458">
      <w:pPr>
        <w:spacing w:line="360" w:lineRule="auto"/>
        <w:rPr>
          <w:rFonts w:ascii="Garamond" w:hAnsi="Garamond"/>
        </w:rPr>
      </w:pPr>
      <w:r>
        <w:rPr>
          <w:rFonts w:ascii="Garamond" w:hAnsi="Garamond"/>
        </w:rPr>
        <w:t>Any</w:t>
      </w:r>
      <w:r w:rsidR="0084099A">
        <w:rPr>
          <w:rFonts w:ascii="Garamond" w:hAnsi="Garamond"/>
        </w:rPr>
        <w:t xml:space="preserve"> </w:t>
      </w:r>
      <w:r>
        <w:rPr>
          <w:rFonts w:ascii="Garamond" w:hAnsi="Garamond"/>
        </w:rPr>
        <w:t>notion that law’s relationship with time is lodged only in history has been comprehensively dispelled</w:t>
      </w:r>
      <w:r w:rsidR="00BF7BF3">
        <w:rPr>
          <w:rFonts w:ascii="Garamond" w:hAnsi="Garamond"/>
        </w:rPr>
        <w:t xml:space="preserve"> by </w:t>
      </w:r>
      <w:r w:rsidR="0029269B">
        <w:rPr>
          <w:rFonts w:ascii="Garamond" w:hAnsi="Garamond"/>
        </w:rPr>
        <w:t xml:space="preserve">a significant and insightful body of work in socio-legal and critical legal studies, which has brought a new level of precision to the field, </w:t>
      </w:r>
      <w:r w:rsidR="00186937">
        <w:rPr>
          <w:rFonts w:ascii="Garamond" w:hAnsi="Garamond"/>
        </w:rPr>
        <w:t>detailing the varying temporalities that contemporary legal systems and techniques use or construct.</w:t>
      </w:r>
      <w:r w:rsidR="00186937">
        <w:rPr>
          <w:rStyle w:val="EndnoteReference"/>
          <w:rFonts w:ascii="Garamond" w:hAnsi="Garamond"/>
        </w:rPr>
        <w:endnoteReference w:id="21"/>
      </w:r>
      <w:r w:rsidR="003303DB">
        <w:rPr>
          <w:rFonts w:ascii="Garamond" w:hAnsi="Garamond"/>
        </w:rPr>
        <w:t xml:space="preserve">  </w:t>
      </w:r>
      <w:r w:rsidR="00F05ED4">
        <w:rPr>
          <w:rFonts w:ascii="Garamond" w:hAnsi="Garamond"/>
        </w:rPr>
        <w:t>The scholarship</w:t>
      </w:r>
      <w:r w:rsidR="004148D2">
        <w:rPr>
          <w:rFonts w:ascii="Garamond" w:hAnsi="Garamond"/>
        </w:rPr>
        <w:t xml:space="preserve"> has done much to broaden the focus beyond historical context by illuminating the diversity of </w:t>
      </w:r>
      <w:r w:rsidR="00E2628A">
        <w:rPr>
          <w:rFonts w:ascii="Garamond" w:hAnsi="Garamond"/>
        </w:rPr>
        <w:t>ways</w:t>
      </w:r>
      <w:r w:rsidR="006F236E">
        <w:rPr>
          <w:rFonts w:ascii="Garamond" w:hAnsi="Garamond"/>
        </w:rPr>
        <w:t xml:space="preserve"> in which</w:t>
      </w:r>
      <w:r w:rsidR="00142B59">
        <w:rPr>
          <w:rFonts w:ascii="Garamond" w:hAnsi="Garamond"/>
        </w:rPr>
        <w:t xml:space="preserve"> </w:t>
      </w:r>
      <w:r w:rsidR="003303DB">
        <w:rPr>
          <w:rFonts w:ascii="Garamond" w:hAnsi="Garamond"/>
        </w:rPr>
        <w:t xml:space="preserve">law </w:t>
      </w:r>
      <w:r w:rsidR="006F236E">
        <w:rPr>
          <w:rFonts w:ascii="Garamond" w:hAnsi="Garamond"/>
        </w:rPr>
        <w:t>discursively and practically shapes what we interpret and experience as time</w:t>
      </w:r>
      <w:r w:rsidR="00163E55">
        <w:rPr>
          <w:rFonts w:ascii="Garamond" w:hAnsi="Garamond"/>
        </w:rPr>
        <w:t>.</w:t>
      </w:r>
      <w:r w:rsidR="007242A1">
        <w:rPr>
          <w:rFonts w:ascii="Garamond" w:hAnsi="Garamond"/>
        </w:rPr>
        <w:t xml:space="preserve">  It</w:t>
      </w:r>
      <w:r w:rsidR="001F7DC2">
        <w:rPr>
          <w:rFonts w:ascii="Garamond" w:hAnsi="Garamond"/>
        </w:rPr>
        <w:t xml:space="preserve"> </w:t>
      </w:r>
      <w:r w:rsidR="009E7624">
        <w:rPr>
          <w:rFonts w:ascii="Garamond" w:hAnsi="Garamond"/>
        </w:rPr>
        <w:t>goes</w:t>
      </w:r>
      <w:r w:rsidR="00690F68">
        <w:rPr>
          <w:rFonts w:ascii="Garamond" w:hAnsi="Garamond"/>
        </w:rPr>
        <w:t xml:space="preserve"> against the</w:t>
      </w:r>
      <w:r w:rsidR="009E7624">
        <w:rPr>
          <w:rFonts w:ascii="Garamond" w:hAnsi="Garamond"/>
        </w:rPr>
        <w:t xml:space="preserve"> common</w:t>
      </w:r>
      <w:r w:rsidR="00B9286A">
        <w:rPr>
          <w:rFonts w:ascii="Garamond" w:hAnsi="Garamond"/>
        </w:rPr>
        <w:t xml:space="preserve">ly held and </w:t>
      </w:r>
      <w:r w:rsidR="00945546">
        <w:rPr>
          <w:rFonts w:ascii="Garamond" w:hAnsi="Garamond"/>
        </w:rPr>
        <w:t>often tacit</w:t>
      </w:r>
      <w:r w:rsidR="00B9286A">
        <w:rPr>
          <w:rFonts w:ascii="Garamond" w:hAnsi="Garamond"/>
        </w:rPr>
        <w:t xml:space="preserve"> view </w:t>
      </w:r>
      <w:r w:rsidR="009E7624">
        <w:rPr>
          <w:rFonts w:ascii="Garamond" w:hAnsi="Garamond"/>
        </w:rPr>
        <w:t>that</w:t>
      </w:r>
      <w:r w:rsidR="001F7DC2">
        <w:rPr>
          <w:rFonts w:ascii="Garamond" w:hAnsi="Garamond"/>
        </w:rPr>
        <w:t xml:space="preserve"> </w:t>
      </w:r>
      <w:r w:rsidR="00945546">
        <w:rPr>
          <w:rFonts w:ascii="Garamond" w:hAnsi="Garamond"/>
        </w:rPr>
        <w:t xml:space="preserve">law and time are analytically </w:t>
      </w:r>
      <w:r w:rsidR="003E7578">
        <w:rPr>
          <w:rFonts w:ascii="Garamond" w:hAnsi="Garamond"/>
        </w:rPr>
        <w:t>distinct</w:t>
      </w:r>
      <w:r w:rsidR="00B9286A">
        <w:rPr>
          <w:rFonts w:ascii="Garamond" w:hAnsi="Garamond"/>
        </w:rPr>
        <w:t>,</w:t>
      </w:r>
      <w:r w:rsidR="008A1F89">
        <w:rPr>
          <w:rFonts w:ascii="Garamond" w:hAnsi="Garamond"/>
        </w:rPr>
        <w:t xml:space="preserve"> </w:t>
      </w:r>
      <w:r w:rsidR="00945546">
        <w:rPr>
          <w:rFonts w:ascii="Garamond" w:hAnsi="Garamond"/>
        </w:rPr>
        <w:t>providing</w:t>
      </w:r>
      <w:r w:rsidR="008A1F89">
        <w:rPr>
          <w:rFonts w:ascii="Garamond" w:hAnsi="Garamond"/>
        </w:rPr>
        <w:t xml:space="preserve"> </w:t>
      </w:r>
      <w:r w:rsidR="00945546">
        <w:rPr>
          <w:rFonts w:ascii="Garamond" w:hAnsi="Garamond"/>
        </w:rPr>
        <w:t>original</w:t>
      </w:r>
      <w:r w:rsidR="002A6DA2">
        <w:rPr>
          <w:rFonts w:ascii="Garamond" w:hAnsi="Garamond"/>
        </w:rPr>
        <w:t xml:space="preserve"> </w:t>
      </w:r>
      <w:r w:rsidR="008A1F89">
        <w:rPr>
          <w:rFonts w:ascii="Garamond" w:hAnsi="Garamond"/>
        </w:rPr>
        <w:t xml:space="preserve">concrete analyses of </w:t>
      </w:r>
      <w:r w:rsidR="002A6DA2">
        <w:rPr>
          <w:rFonts w:ascii="Garamond" w:hAnsi="Garamond"/>
        </w:rPr>
        <w:t>the</w:t>
      </w:r>
      <w:r w:rsidR="00C01002">
        <w:rPr>
          <w:rFonts w:ascii="Garamond" w:hAnsi="Garamond"/>
        </w:rPr>
        <w:t xml:space="preserve">m as </w:t>
      </w:r>
      <w:r w:rsidR="00C72B16">
        <w:rPr>
          <w:rFonts w:ascii="Garamond" w:hAnsi="Garamond"/>
        </w:rPr>
        <w:t xml:space="preserve">mutually </w:t>
      </w:r>
      <w:r w:rsidR="002A6DA2">
        <w:rPr>
          <w:rFonts w:ascii="Garamond" w:hAnsi="Garamond"/>
        </w:rPr>
        <w:t>dependent</w:t>
      </w:r>
      <w:r w:rsidR="00C01002">
        <w:rPr>
          <w:rFonts w:ascii="Garamond" w:hAnsi="Garamond"/>
        </w:rPr>
        <w:t xml:space="preserve"> entities that</w:t>
      </w:r>
      <w:r w:rsidR="002A6DA2">
        <w:rPr>
          <w:rFonts w:ascii="Garamond" w:hAnsi="Garamond"/>
        </w:rPr>
        <w:t xml:space="preserve"> interact and shape </w:t>
      </w:r>
      <w:r w:rsidR="00C72B16">
        <w:rPr>
          <w:rFonts w:ascii="Garamond" w:hAnsi="Garamond"/>
        </w:rPr>
        <w:t>each other.  Whereas l</w:t>
      </w:r>
      <w:r w:rsidR="00B9286A">
        <w:rPr>
          <w:rFonts w:ascii="Garamond" w:hAnsi="Garamond"/>
        </w:rPr>
        <w:t>egal scholars, like social theorists generally, have tended to treat questions of law separately from those of time</w:t>
      </w:r>
      <w:r w:rsidR="00C72B16">
        <w:rPr>
          <w:rFonts w:ascii="Garamond" w:hAnsi="Garamond"/>
        </w:rPr>
        <w:t xml:space="preserve">, the recent </w:t>
      </w:r>
      <w:r w:rsidR="00F75529">
        <w:rPr>
          <w:rFonts w:ascii="Garamond" w:hAnsi="Garamond"/>
        </w:rPr>
        <w:t xml:space="preserve">line of work </w:t>
      </w:r>
      <w:r w:rsidR="00C42A6E">
        <w:rPr>
          <w:rFonts w:ascii="Garamond" w:hAnsi="Garamond"/>
        </w:rPr>
        <w:t>focus</w:t>
      </w:r>
      <w:r w:rsidR="007807FF">
        <w:rPr>
          <w:rFonts w:ascii="Garamond" w:hAnsi="Garamond"/>
        </w:rPr>
        <w:t xml:space="preserve">es </w:t>
      </w:r>
      <w:r w:rsidR="00C42A6E">
        <w:rPr>
          <w:rFonts w:ascii="Garamond" w:hAnsi="Garamond"/>
        </w:rPr>
        <w:t>on their</w:t>
      </w:r>
      <w:r w:rsidR="00F75529">
        <w:rPr>
          <w:rFonts w:ascii="Garamond" w:hAnsi="Garamond"/>
        </w:rPr>
        <w:t xml:space="preserve"> interconnections</w:t>
      </w:r>
      <w:r w:rsidR="00C42A6E">
        <w:rPr>
          <w:rFonts w:ascii="Garamond" w:hAnsi="Garamond"/>
        </w:rPr>
        <w:t xml:space="preserve"> </w:t>
      </w:r>
      <w:r w:rsidR="00BB0535">
        <w:rPr>
          <w:rFonts w:ascii="Garamond" w:hAnsi="Garamond"/>
        </w:rPr>
        <w:t xml:space="preserve">and </w:t>
      </w:r>
      <w:r w:rsidR="00C42A6E">
        <w:rPr>
          <w:rFonts w:ascii="Garamond" w:hAnsi="Garamond"/>
        </w:rPr>
        <w:t xml:space="preserve">shows </w:t>
      </w:r>
      <w:r w:rsidR="004E07C2">
        <w:rPr>
          <w:rFonts w:ascii="Garamond" w:hAnsi="Garamond"/>
        </w:rPr>
        <w:t>how we gain</w:t>
      </w:r>
      <w:r w:rsidR="00B9286A">
        <w:rPr>
          <w:rFonts w:ascii="Garamond" w:hAnsi="Garamond"/>
        </w:rPr>
        <w:t xml:space="preserve"> </w:t>
      </w:r>
      <w:r w:rsidR="00F75529">
        <w:rPr>
          <w:rFonts w:ascii="Garamond" w:hAnsi="Garamond"/>
        </w:rPr>
        <w:t xml:space="preserve">explanatory power by thinking of </w:t>
      </w:r>
      <w:r w:rsidR="00C01002">
        <w:rPr>
          <w:rFonts w:ascii="Garamond" w:hAnsi="Garamond"/>
        </w:rPr>
        <w:t>l</w:t>
      </w:r>
      <w:r w:rsidR="005B4C59">
        <w:rPr>
          <w:rFonts w:ascii="Garamond" w:hAnsi="Garamond"/>
        </w:rPr>
        <w:t>egal processes</w:t>
      </w:r>
      <w:r w:rsidR="003277CB">
        <w:rPr>
          <w:rFonts w:ascii="Garamond" w:hAnsi="Garamond"/>
        </w:rPr>
        <w:t>, institutions</w:t>
      </w:r>
      <w:r w:rsidR="005B4C59">
        <w:rPr>
          <w:rFonts w:ascii="Garamond" w:hAnsi="Garamond"/>
        </w:rPr>
        <w:t xml:space="preserve"> and </w:t>
      </w:r>
      <w:r w:rsidR="003277CB">
        <w:rPr>
          <w:rFonts w:ascii="Garamond" w:hAnsi="Garamond"/>
        </w:rPr>
        <w:t>doctrine</w:t>
      </w:r>
      <w:r w:rsidR="00C01002">
        <w:rPr>
          <w:rFonts w:ascii="Garamond" w:hAnsi="Garamond"/>
        </w:rPr>
        <w:t xml:space="preserve"> as fundamentally </w:t>
      </w:r>
      <w:proofErr w:type="spellStart"/>
      <w:r w:rsidR="00C01002">
        <w:rPr>
          <w:rFonts w:ascii="Garamond" w:hAnsi="Garamond"/>
        </w:rPr>
        <w:t>temporalised</w:t>
      </w:r>
      <w:proofErr w:type="spellEnd"/>
      <w:r w:rsidR="005B4C59">
        <w:rPr>
          <w:rFonts w:ascii="Garamond" w:hAnsi="Garamond"/>
        </w:rPr>
        <w:t>.</w:t>
      </w:r>
      <w:r w:rsidR="005B4C59">
        <w:rPr>
          <w:rStyle w:val="EndnoteReference"/>
          <w:rFonts w:ascii="Garamond" w:hAnsi="Garamond"/>
        </w:rPr>
        <w:endnoteReference w:id="22"/>
      </w:r>
      <w:r w:rsidR="003277CB">
        <w:rPr>
          <w:rFonts w:ascii="Garamond" w:hAnsi="Garamond"/>
        </w:rPr>
        <w:t xml:space="preserve">  Law</w:t>
      </w:r>
      <w:r w:rsidR="00B61E8B">
        <w:rPr>
          <w:rFonts w:ascii="Garamond" w:hAnsi="Garamond"/>
        </w:rPr>
        <w:t xml:space="preserve"> is full of temporal </w:t>
      </w:r>
      <w:r w:rsidR="003403D1">
        <w:rPr>
          <w:rFonts w:ascii="Garamond" w:hAnsi="Garamond"/>
        </w:rPr>
        <w:t>structures</w:t>
      </w:r>
      <w:r w:rsidR="00611D2E">
        <w:rPr>
          <w:rFonts w:ascii="Garamond" w:hAnsi="Garamond"/>
        </w:rPr>
        <w:t xml:space="preserve"> – </w:t>
      </w:r>
      <w:r w:rsidR="00C82746">
        <w:rPr>
          <w:rFonts w:ascii="Garamond" w:hAnsi="Garamond"/>
        </w:rPr>
        <w:t xml:space="preserve">for instance, </w:t>
      </w:r>
      <w:r w:rsidR="005D6523">
        <w:rPr>
          <w:rFonts w:ascii="Garamond" w:hAnsi="Garamond"/>
        </w:rPr>
        <w:t>it determines when (e.g. sunset clauses), in what order</w:t>
      </w:r>
      <w:r w:rsidR="00755317">
        <w:rPr>
          <w:rFonts w:ascii="Garamond" w:hAnsi="Garamond"/>
        </w:rPr>
        <w:t xml:space="preserve"> (e.g. </w:t>
      </w:r>
      <w:r w:rsidR="002F0FC6">
        <w:rPr>
          <w:rFonts w:ascii="Garamond" w:hAnsi="Garamond"/>
        </w:rPr>
        <w:t>consultation and pre-decision matters</w:t>
      </w:r>
      <w:r w:rsidR="00755317">
        <w:rPr>
          <w:rFonts w:ascii="Garamond" w:hAnsi="Garamond"/>
        </w:rPr>
        <w:t>)</w:t>
      </w:r>
      <w:r w:rsidR="005D6523">
        <w:rPr>
          <w:rFonts w:ascii="Garamond" w:hAnsi="Garamond"/>
        </w:rPr>
        <w:t xml:space="preserve">, how quickly </w:t>
      </w:r>
      <w:r w:rsidR="002F0FC6">
        <w:rPr>
          <w:rFonts w:ascii="Garamond" w:hAnsi="Garamond"/>
        </w:rPr>
        <w:t xml:space="preserve">(e.g. determination deadlines) </w:t>
      </w:r>
      <w:r w:rsidR="005D6523">
        <w:rPr>
          <w:rFonts w:ascii="Garamond" w:hAnsi="Garamond"/>
        </w:rPr>
        <w:t>and for how long action</w:t>
      </w:r>
      <w:r w:rsidR="00755317">
        <w:rPr>
          <w:rFonts w:ascii="Garamond" w:hAnsi="Garamond"/>
        </w:rPr>
        <w:t xml:space="preserve"> (e.g. </w:t>
      </w:r>
      <w:r w:rsidR="002F0FC6">
        <w:rPr>
          <w:rFonts w:ascii="Garamond" w:hAnsi="Garamond"/>
        </w:rPr>
        <w:t xml:space="preserve">injunctions, temporary </w:t>
      </w:r>
      <w:r w:rsidR="00755317">
        <w:rPr>
          <w:rFonts w:ascii="Garamond" w:hAnsi="Garamond"/>
        </w:rPr>
        <w:t>stop notices)</w:t>
      </w:r>
      <w:r w:rsidR="005D6523">
        <w:rPr>
          <w:rFonts w:ascii="Garamond" w:hAnsi="Garamond"/>
        </w:rPr>
        <w:t xml:space="preserve"> can be taken</w:t>
      </w:r>
      <w:r w:rsidR="00C82746">
        <w:rPr>
          <w:rFonts w:ascii="Garamond" w:hAnsi="Garamond"/>
        </w:rPr>
        <w:t>.</w:t>
      </w:r>
      <w:r w:rsidR="003E7578">
        <w:rPr>
          <w:rStyle w:val="EndnoteReference"/>
          <w:rFonts w:ascii="Garamond" w:hAnsi="Garamond"/>
        </w:rPr>
        <w:endnoteReference w:id="23"/>
      </w:r>
      <w:r w:rsidR="00C82746">
        <w:rPr>
          <w:rFonts w:ascii="Garamond" w:hAnsi="Garamond"/>
        </w:rPr>
        <w:t xml:space="preserve">  Law also operates more subtly</w:t>
      </w:r>
      <w:r w:rsidR="00686289">
        <w:rPr>
          <w:rFonts w:ascii="Garamond" w:hAnsi="Garamond"/>
        </w:rPr>
        <w:t>, though,</w:t>
      </w:r>
      <w:r w:rsidR="00C82746">
        <w:rPr>
          <w:rFonts w:ascii="Garamond" w:hAnsi="Garamond"/>
        </w:rPr>
        <w:t xml:space="preserve"> to </w:t>
      </w:r>
      <w:r w:rsidR="0012658B">
        <w:rPr>
          <w:rFonts w:ascii="Garamond" w:hAnsi="Garamond"/>
        </w:rPr>
        <w:t xml:space="preserve">construct a particular sense of </w:t>
      </w:r>
      <w:r w:rsidR="00686289">
        <w:rPr>
          <w:rFonts w:ascii="Garamond" w:hAnsi="Garamond"/>
        </w:rPr>
        <w:t>time</w:t>
      </w:r>
      <w:r w:rsidR="00BB0535">
        <w:rPr>
          <w:rFonts w:ascii="Garamond" w:hAnsi="Garamond"/>
        </w:rPr>
        <w:t xml:space="preserve">, </w:t>
      </w:r>
      <w:r w:rsidR="00DD1988">
        <w:rPr>
          <w:rFonts w:ascii="Garamond" w:hAnsi="Garamond"/>
        </w:rPr>
        <w:t xml:space="preserve">such as </w:t>
      </w:r>
      <w:r w:rsidR="00686289">
        <w:rPr>
          <w:rFonts w:ascii="Garamond" w:hAnsi="Garamond"/>
        </w:rPr>
        <w:t>rhythm</w:t>
      </w:r>
      <w:r w:rsidR="00037FC0">
        <w:rPr>
          <w:rFonts w:ascii="Garamond" w:hAnsi="Garamond"/>
        </w:rPr>
        <w:t xml:space="preserve">, </w:t>
      </w:r>
      <w:r w:rsidR="00DD1988">
        <w:rPr>
          <w:rFonts w:ascii="Garamond" w:hAnsi="Garamond"/>
        </w:rPr>
        <w:t>intensity</w:t>
      </w:r>
      <w:r w:rsidR="0021426A">
        <w:rPr>
          <w:rFonts w:ascii="Garamond" w:hAnsi="Garamond"/>
        </w:rPr>
        <w:t>, potential</w:t>
      </w:r>
      <w:r w:rsidR="005D1E75">
        <w:rPr>
          <w:rFonts w:ascii="Garamond" w:hAnsi="Garamond"/>
        </w:rPr>
        <w:t xml:space="preserve"> </w:t>
      </w:r>
      <w:r w:rsidR="00037FC0">
        <w:rPr>
          <w:rFonts w:ascii="Garamond" w:hAnsi="Garamond"/>
        </w:rPr>
        <w:t>and accentuation, in the moment.  It is t</w:t>
      </w:r>
      <w:r w:rsidR="00B659ED">
        <w:rPr>
          <w:rFonts w:ascii="Garamond" w:hAnsi="Garamond"/>
        </w:rPr>
        <w:t xml:space="preserve">hrough the </w:t>
      </w:r>
      <w:r w:rsidR="00B659ED">
        <w:rPr>
          <w:rFonts w:ascii="Garamond" w:hAnsi="Garamond"/>
        </w:rPr>
        <w:lastRenderedPageBreak/>
        <w:t xml:space="preserve">richer, more finely textured accounts of law’s temporal dynamics that </w:t>
      </w:r>
      <w:r w:rsidR="007D2DE8">
        <w:rPr>
          <w:rFonts w:ascii="Garamond" w:hAnsi="Garamond"/>
        </w:rPr>
        <w:t>the</w:t>
      </w:r>
      <w:r w:rsidR="0021426A">
        <w:rPr>
          <w:rFonts w:ascii="Garamond" w:hAnsi="Garamond"/>
        </w:rPr>
        <w:t>se</w:t>
      </w:r>
      <w:r w:rsidR="00B659ED">
        <w:rPr>
          <w:rFonts w:ascii="Garamond" w:hAnsi="Garamond"/>
        </w:rPr>
        <w:t xml:space="preserve"> </w:t>
      </w:r>
      <w:r w:rsidR="0021426A">
        <w:rPr>
          <w:rFonts w:ascii="Garamond" w:hAnsi="Garamond"/>
        </w:rPr>
        <w:t xml:space="preserve">felt-realities </w:t>
      </w:r>
      <w:r w:rsidR="00176860">
        <w:rPr>
          <w:rFonts w:ascii="Garamond" w:hAnsi="Garamond"/>
        </w:rPr>
        <w:t xml:space="preserve">of time </w:t>
      </w:r>
      <w:r w:rsidR="0021426A">
        <w:rPr>
          <w:rFonts w:ascii="Garamond" w:hAnsi="Garamond"/>
        </w:rPr>
        <w:t xml:space="preserve">have come to </w:t>
      </w:r>
      <w:r w:rsidR="00176860">
        <w:rPr>
          <w:rFonts w:ascii="Garamond" w:hAnsi="Garamond"/>
        </w:rPr>
        <w:t>be regarded as</w:t>
      </w:r>
      <w:r w:rsidR="00800521">
        <w:rPr>
          <w:rFonts w:ascii="Garamond" w:hAnsi="Garamond"/>
        </w:rPr>
        <w:t xml:space="preserve"> a form of legality.</w:t>
      </w:r>
      <w:r w:rsidR="00432930">
        <w:rPr>
          <w:rStyle w:val="EndnoteReference"/>
          <w:rFonts w:ascii="Garamond" w:hAnsi="Garamond"/>
        </w:rPr>
        <w:endnoteReference w:id="24"/>
      </w:r>
      <w:r w:rsidR="00800521">
        <w:rPr>
          <w:rFonts w:ascii="Garamond" w:hAnsi="Garamond"/>
        </w:rPr>
        <w:t xml:space="preserve">  Time is not just </w:t>
      </w:r>
      <w:r w:rsidR="004F75DE">
        <w:rPr>
          <w:rFonts w:ascii="Garamond" w:hAnsi="Garamond"/>
        </w:rPr>
        <w:t>an object of legal intervention</w:t>
      </w:r>
      <w:r w:rsidR="008A2738">
        <w:rPr>
          <w:rFonts w:ascii="Garamond" w:hAnsi="Garamond"/>
        </w:rPr>
        <w:t xml:space="preserve"> –</w:t>
      </w:r>
      <w:r w:rsidR="004F75DE">
        <w:rPr>
          <w:rFonts w:ascii="Garamond" w:hAnsi="Garamond"/>
        </w:rPr>
        <w:t xml:space="preserve"> it is also a</w:t>
      </w:r>
      <w:r w:rsidR="00885122">
        <w:rPr>
          <w:rFonts w:ascii="Garamond" w:hAnsi="Garamond"/>
        </w:rPr>
        <w:t xml:space="preserve"> </w:t>
      </w:r>
      <w:r w:rsidR="00424EC9">
        <w:rPr>
          <w:rFonts w:ascii="Garamond" w:hAnsi="Garamond"/>
        </w:rPr>
        <w:t>mode of</w:t>
      </w:r>
      <w:r w:rsidR="00CA1ECC">
        <w:rPr>
          <w:rFonts w:ascii="Garamond" w:hAnsi="Garamond"/>
        </w:rPr>
        <w:t xml:space="preserve"> legal reasoning</w:t>
      </w:r>
      <w:r w:rsidR="008A2738">
        <w:rPr>
          <w:rFonts w:ascii="Garamond" w:hAnsi="Garamond"/>
        </w:rPr>
        <w:t>;</w:t>
      </w:r>
      <w:r w:rsidR="00424EC9">
        <w:rPr>
          <w:rFonts w:ascii="Garamond" w:hAnsi="Garamond"/>
        </w:rPr>
        <w:t xml:space="preserve"> a means of</w:t>
      </w:r>
      <w:r w:rsidR="009757A3">
        <w:rPr>
          <w:rFonts w:ascii="Garamond" w:hAnsi="Garamond"/>
        </w:rPr>
        <w:t xml:space="preserve"> marshalling evidence,</w:t>
      </w:r>
      <w:r w:rsidR="00111537">
        <w:rPr>
          <w:rFonts w:ascii="Garamond" w:hAnsi="Garamond"/>
        </w:rPr>
        <w:t xml:space="preserve"> </w:t>
      </w:r>
      <w:r w:rsidR="009757A3">
        <w:rPr>
          <w:rFonts w:ascii="Garamond" w:hAnsi="Garamond"/>
        </w:rPr>
        <w:t>framing interactions</w:t>
      </w:r>
      <w:r w:rsidR="008A2738">
        <w:rPr>
          <w:rFonts w:ascii="Garamond" w:hAnsi="Garamond"/>
        </w:rPr>
        <w:t xml:space="preserve"> and </w:t>
      </w:r>
      <w:r w:rsidR="00B93C24">
        <w:rPr>
          <w:rFonts w:ascii="Garamond" w:hAnsi="Garamond"/>
        </w:rPr>
        <w:t>stabilising powerful normative frameworks</w:t>
      </w:r>
      <w:r w:rsidR="008A2738">
        <w:rPr>
          <w:rFonts w:ascii="Garamond" w:hAnsi="Garamond"/>
        </w:rPr>
        <w:t>;</w:t>
      </w:r>
      <w:r w:rsidR="00C3631A">
        <w:rPr>
          <w:rFonts w:ascii="Garamond" w:hAnsi="Garamond"/>
        </w:rPr>
        <w:t xml:space="preserve"> a</w:t>
      </w:r>
      <w:r w:rsidR="00885122">
        <w:rPr>
          <w:rFonts w:ascii="Garamond" w:hAnsi="Garamond"/>
        </w:rPr>
        <w:t xml:space="preserve"> medium through which</w:t>
      </w:r>
      <w:r w:rsidR="003D57D9">
        <w:rPr>
          <w:rFonts w:ascii="Garamond" w:hAnsi="Garamond"/>
        </w:rPr>
        <w:t xml:space="preserve"> social relation</w:t>
      </w:r>
      <w:r w:rsidR="00AF79BE">
        <w:rPr>
          <w:rFonts w:ascii="Garamond" w:hAnsi="Garamond"/>
        </w:rPr>
        <w:t xml:space="preserve">s, values and meanings </w:t>
      </w:r>
      <w:r w:rsidR="00472CB8">
        <w:rPr>
          <w:rFonts w:ascii="Garamond" w:hAnsi="Garamond"/>
        </w:rPr>
        <w:t>become</w:t>
      </w:r>
      <w:r w:rsidR="00AF79BE">
        <w:rPr>
          <w:rFonts w:ascii="Garamond" w:hAnsi="Garamond"/>
        </w:rPr>
        <w:t xml:space="preserve"> embedded in legal and regulatory practices.</w:t>
      </w:r>
      <w:r w:rsidR="00317442">
        <w:rPr>
          <w:rFonts w:ascii="Garamond" w:hAnsi="Garamond"/>
        </w:rPr>
        <w:t xml:space="preserve">  </w:t>
      </w:r>
      <w:r w:rsidR="008A2738">
        <w:rPr>
          <w:rFonts w:ascii="Garamond" w:hAnsi="Garamond"/>
        </w:rPr>
        <w:t>Law’s relationship with time</w:t>
      </w:r>
      <w:r w:rsidR="00317442">
        <w:rPr>
          <w:rFonts w:ascii="Garamond" w:hAnsi="Garamond"/>
        </w:rPr>
        <w:t xml:space="preserve"> is </w:t>
      </w:r>
      <w:r w:rsidR="0064408F">
        <w:rPr>
          <w:rFonts w:ascii="Garamond" w:hAnsi="Garamond"/>
        </w:rPr>
        <w:t xml:space="preserve">anything but </w:t>
      </w:r>
      <w:r w:rsidR="00FD2F9A">
        <w:rPr>
          <w:rFonts w:ascii="Garamond" w:hAnsi="Garamond"/>
        </w:rPr>
        <w:t>uniform</w:t>
      </w:r>
      <w:r w:rsidR="00F3438A">
        <w:rPr>
          <w:rFonts w:ascii="Garamond" w:hAnsi="Garamond"/>
        </w:rPr>
        <w:t xml:space="preserve"> and one-directional.</w:t>
      </w:r>
    </w:p>
    <w:p w14:paraId="32133024" w14:textId="77777777" w:rsidR="00317442" w:rsidRDefault="00317442" w:rsidP="00E72458">
      <w:pPr>
        <w:spacing w:line="360" w:lineRule="auto"/>
        <w:rPr>
          <w:rFonts w:ascii="Garamond" w:hAnsi="Garamond"/>
        </w:rPr>
      </w:pPr>
    </w:p>
    <w:p w14:paraId="34F46930" w14:textId="5DF38F56" w:rsidR="0020302C" w:rsidRDefault="000D61E5" w:rsidP="00E72458">
      <w:pPr>
        <w:spacing w:line="360" w:lineRule="auto"/>
        <w:rPr>
          <w:rFonts w:ascii="Garamond" w:hAnsi="Garamond"/>
        </w:rPr>
      </w:pPr>
      <w:r>
        <w:rPr>
          <w:rFonts w:ascii="Garamond" w:hAnsi="Garamond"/>
        </w:rPr>
        <w:t>Yet a</w:t>
      </w:r>
      <w:r w:rsidR="00B02098">
        <w:rPr>
          <w:rFonts w:ascii="Garamond" w:hAnsi="Garamond"/>
        </w:rPr>
        <w:t xml:space="preserve">lthough the literature has made major </w:t>
      </w:r>
      <w:r w:rsidR="00913489">
        <w:rPr>
          <w:rFonts w:ascii="Garamond" w:hAnsi="Garamond"/>
        </w:rPr>
        <w:t xml:space="preserve">conceptual </w:t>
      </w:r>
      <w:r w:rsidR="00B02098">
        <w:rPr>
          <w:rFonts w:ascii="Garamond" w:hAnsi="Garamond"/>
        </w:rPr>
        <w:t xml:space="preserve">inroads </w:t>
      </w:r>
      <w:r w:rsidR="00AC05F8">
        <w:rPr>
          <w:rFonts w:ascii="Garamond" w:hAnsi="Garamond"/>
        </w:rPr>
        <w:t>into</w:t>
      </w:r>
      <w:r w:rsidR="00CB5A3E">
        <w:rPr>
          <w:rFonts w:ascii="Garamond" w:hAnsi="Garamond"/>
        </w:rPr>
        <w:t xml:space="preserve"> </w:t>
      </w:r>
      <w:r w:rsidR="00A202AB">
        <w:rPr>
          <w:rFonts w:ascii="Garamond" w:hAnsi="Garamond"/>
        </w:rPr>
        <w:t xml:space="preserve">the temporalities and temporalising </w:t>
      </w:r>
      <w:r w:rsidR="00DC2276">
        <w:rPr>
          <w:rFonts w:ascii="Garamond" w:hAnsi="Garamond"/>
        </w:rPr>
        <w:t>effects</w:t>
      </w:r>
      <w:r w:rsidR="00A202AB">
        <w:rPr>
          <w:rFonts w:ascii="Garamond" w:hAnsi="Garamond"/>
        </w:rPr>
        <w:t xml:space="preserve"> of law, </w:t>
      </w:r>
      <w:r w:rsidR="00913489">
        <w:rPr>
          <w:rFonts w:ascii="Garamond" w:hAnsi="Garamond"/>
        </w:rPr>
        <w:t xml:space="preserve">and </w:t>
      </w:r>
      <w:r w:rsidR="00AC05F8">
        <w:rPr>
          <w:rFonts w:ascii="Garamond" w:hAnsi="Garamond"/>
        </w:rPr>
        <w:t>prompted a much greater engagement with other disciplinary and interdisciplinary</w:t>
      </w:r>
      <w:r>
        <w:rPr>
          <w:rFonts w:ascii="Garamond" w:hAnsi="Garamond"/>
        </w:rPr>
        <w:t xml:space="preserve"> studies of time</w:t>
      </w:r>
      <w:r w:rsidR="00D3083B">
        <w:rPr>
          <w:rFonts w:ascii="Garamond" w:hAnsi="Garamond"/>
        </w:rPr>
        <w:t xml:space="preserve">, </w:t>
      </w:r>
      <w:r w:rsidR="002368FD">
        <w:rPr>
          <w:rFonts w:ascii="Garamond" w:hAnsi="Garamond"/>
        </w:rPr>
        <w:t xml:space="preserve">there has been no </w:t>
      </w:r>
      <w:r w:rsidR="00CB5A3E">
        <w:rPr>
          <w:rFonts w:ascii="Garamond" w:hAnsi="Garamond"/>
        </w:rPr>
        <w:t>sustained</w:t>
      </w:r>
      <w:r w:rsidR="00005A1A">
        <w:rPr>
          <w:rFonts w:ascii="Garamond" w:hAnsi="Garamond"/>
        </w:rPr>
        <w:t xml:space="preserve"> engagement, as there has been in other fields, </w:t>
      </w:r>
      <w:r w:rsidR="00005A1A" w:rsidRPr="0020302C">
        <w:rPr>
          <w:rFonts w:ascii="Garamond" w:hAnsi="Garamond"/>
        </w:rPr>
        <w:t xml:space="preserve">with </w:t>
      </w:r>
      <w:r w:rsidR="0020302C" w:rsidRPr="0020302C">
        <w:rPr>
          <w:rFonts w:ascii="Garamond" w:hAnsi="Garamond"/>
        </w:rPr>
        <w:t>the future</w:t>
      </w:r>
      <w:r w:rsidR="00DC2276">
        <w:rPr>
          <w:rFonts w:ascii="Garamond" w:hAnsi="Garamond"/>
        </w:rPr>
        <w:t>.</w:t>
      </w:r>
      <w:r w:rsidR="0020302C">
        <w:rPr>
          <w:rFonts w:ascii="Garamond" w:hAnsi="Garamond"/>
        </w:rPr>
        <w:t xml:space="preserve">  There are </w:t>
      </w:r>
      <w:r w:rsidR="006F7F71">
        <w:rPr>
          <w:rFonts w:ascii="Garamond" w:hAnsi="Garamond"/>
        </w:rPr>
        <w:t xml:space="preserve">some </w:t>
      </w:r>
      <w:r w:rsidR="0020302C">
        <w:rPr>
          <w:rFonts w:ascii="Garamond" w:hAnsi="Garamond"/>
        </w:rPr>
        <w:t>brilliant exceptions to this</w:t>
      </w:r>
      <w:r w:rsidR="00481535">
        <w:rPr>
          <w:rFonts w:ascii="Garamond" w:hAnsi="Garamond"/>
        </w:rPr>
        <w:t xml:space="preserve">, </w:t>
      </w:r>
      <w:r w:rsidR="00B043C7">
        <w:rPr>
          <w:rFonts w:ascii="Garamond" w:hAnsi="Garamond"/>
        </w:rPr>
        <w:t>for example</w:t>
      </w:r>
      <w:r w:rsidR="00481535">
        <w:rPr>
          <w:rFonts w:ascii="Garamond" w:hAnsi="Garamond"/>
        </w:rPr>
        <w:t xml:space="preserve"> the work of</w:t>
      </w:r>
      <w:r w:rsidR="0020302C">
        <w:rPr>
          <w:rFonts w:ascii="Garamond" w:hAnsi="Garamond"/>
        </w:rPr>
        <w:t xml:space="preserve"> </w:t>
      </w:r>
      <w:r w:rsidR="00C67E43">
        <w:rPr>
          <w:rFonts w:ascii="Garamond" w:hAnsi="Garamond"/>
        </w:rPr>
        <w:t>Emily Grabham on the futures conceived, and critically the futures excluded, under the UK’s Gender Recognition Act 2004;</w:t>
      </w:r>
      <w:r w:rsidR="00C67E43">
        <w:rPr>
          <w:rStyle w:val="EndnoteReference"/>
          <w:rFonts w:ascii="Garamond" w:hAnsi="Garamond"/>
        </w:rPr>
        <w:endnoteReference w:id="25"/>
      </w:r>
      <w:r w:rsidR="00C67E43">
        <w:rPr>
          <w:rFonts w:ascii="Garamond" w:hAnsi="Garamond"/>
        </w:rPr>
        <w:t xml:space="preserve"> </w:t>
      </w:r>
      <w:r w:rsidR="00DB5D38">
        <w:rPr>
          <w:rFonts w:ascii="Garamond" w:hAnsi="Garamond"/>
        </w:rPr>
        <w:t>Annelise Riles on ‘placeholders’ for resolving ambiguity about the near future;</w:t>
      </w:r>
      <w:r w:rsidR="00DB5D38">
        <w:rPr>
          <w:rStyle w:val="EndnoteReference"/>
          <w:rFonts w:ascii="Garamond" w:hAnsi="Garamond"/>
        </w:rPr>
        <w:endnoteReference w:id="26"/>
      </w:r>
      <w:r w:rsidR="00DB5D38">
        <w:rPr>
          <w:rFonts w:ascii="Garamond" w:hAnsi="Garamond"/>
        </w:rPr>
        <w:t xml:space="preserve"> </w:t>
      </w:r>
      <w:proofErr w:type="spellStart"/>
      <w:r w:rsidR="0020302C">
        <w:rPr>
          <w:rFonts w:ascii="Garamond" w:hAnsi="Garamond"/>
        </w:rPr>
        <w:t>Renisa</w:t>
      </w:r>
      <w:proofErr w:type="spellEnd"/>
      <w:r w:rsidR="0020302C">
        <w:rPr>
          <w:rFonts w:ascii="Garamond" w:hAnsi="Garamond"/>
        </w:rPr>
        <w:t xml:space="preserve"> </w:t>
      </w:r>
      <w:proofErr w:type="spellStart"/>
      <w:r w:rsidR="0020302C">
        <w:rPr>
          <w:rFonts w:ascii="Garamond" w:hAnsi="Garamond"/>
        </w:rPr>
        <w:t>Mawani</w:t>
      </w:r>
      <w:proofErr w:type="spellEnd"/>
      <w:r w:rsidR="0087265B">
        <w:rPr>
          <w:rFonts w:ascii="Garamond" w:hAnsi="Garamond"/>
        </w:rPr>
        <w:t xml:space="preserve"> on the significance of certain, envisioned colonial futures to the </w:t>
      </w:r>
      <w:r w:rsidR="009C6343">
        <w:rPr>
          <w:rFonts w:ascii="Garamond" w:hAnsi="Garamond"/>
        </w:rPr>
        <w:t>claimed authority, sovereignty and legitimacy of British imperial law;</w:t>
      </w:r>
      <w:r w:rsidR="009C6343" w:rsidRPr="009C6343">
        <w:rPr>
          <w:rStyle w:val="EndnoteReference"/>
          <w:rFonts w:ascii="Garamond" w:hAnsi="Garamond"/>
        </w:rPr>
        <w:t xml:space="preserve"> </w:t>
      </w:r>
      <w:r w:rsidR="009C6343">
        <w:rPr>
          <w:rStyle w:val="EndnoteReference"/>
          <w:rFonts w:ascii="Garamond" w:hAnsi="Garamond"/>
        </w:rPr>
        <w:endnoteReference w:id="27"/>
      </w:r>
      <w:r w:rsidR="009C6343">
        <w:rPr>
          <w:rFonts w:ascii="Garamond" w:hAnsi="Garamond"/>
        </w:rPr>
        <w:t xml:space="preserve"> Sarah Keenan </w:t>
      </w:r>
      <w:r w:rsidR="00C67E43">
        <w:rPr>
          <w:rFonts w:ascii="Garamond" w:hAnsi="Garamond"/>
        </w:rPr>
        <w:t>on</w:t>
      </w:r>
      <w:r w:rsidR="009C6343">
        <w:rPr>
          <w:rFonts w:ascii="Garamond" w:hAnsi="Garamond"/>
        </w:rPr>
        <w:t xml:space="preserve"> </w:t>
      </w:r>
      <w:r w:rsidR="00656CB8">
        <w:rPr>
          <w:rFonts w:ascii="Garamond" w:hAnsi="Garamond"/>
        </w:rPr>
        <w:t xml:space="preserve">title registration as a means of protecting the </w:t>
      </w:r>
      <w:r w:rsidR="00B00740">
        <w:rPr>
          <w:rFonts w:ascii="Garamond" w:hAnsi="Garamond"/>
        </w:rPr>
        <w:t xml:space="preserve">transcendental, </w:t>
      </w:r>
      <w:r w:rsidR="00656CB8">
        <w:rPr>
          <w:rFonts w:ascii="Garamond" w:hAnsi="Garamond"/>
        </w:rPr>
        <w:t xml:space="preserve">future entitlement </w:t>
      </w:r>
      <w:r w:rsidR="00B00740">
        <w:rPr>
          <w:rFonts w:ascii="Garamond" w:hAnsi="Garamond"/>
        </w:rPr>
        <w:t>of white settler subjects</w:t>
      </w:r>
      <w:r w:rsidR="00DD7067">
        <w:rPr>
          <w:rFonts w:ascii="Garamond" w:hAnsi="Garamond"/>
        </w:rPr>
        <w:t xml:space="preserve"> to indigenous land;</w:t>
      </w:r>
      <w:r w:rsidR="00F130AB">
        <w:rPr>
          <w:rStyle w:val="EndnoteReference"/>
          <w:rFonts w:ascii="Garamond" w:hAnsi="Garamond"/>
        </w:rPr>
        <w:endnoteReference w:id="28"/>
      </w:r>
      <w:r w:rsidR="0020302C">
        <w:rPr>
          <w:rFonts w:ascii="Garamond" w:hAnsi="Garamond"/>
        </w:rPr>
        <w:t xml:space="preserve"> </w:t>
      </w:r>
      <w:r w:rsidR="00A1060D">
        <w:rPr>
          <w:rFonts w:ascii="Garamond" w:hAnsi="Garamond"/>
        </w:rPr>
        <w:t>Davina Cooper on prefigurative institutional action</w:t>
      </w:r>
      <w:r w:rsidR="00754A11">
        <w:rPr>
          <w:rFonts w:ascii="Garamond" w:hAnsi="Garamond"/>
        </w:rPr>
        <w:t xml:space="preserve">; and Christos </w:t>
      </w:r>
      <w:proofErr w:type="spellStart"/>
      <w:r w:rsidR="00754A11">
        <w:rPr>
          <w:rFonts w:ascii="Garamond" w:hAnsi="Garamond"/>
        </w:rPr>
        <w:t>Boukalas</w:t>
      </w:r>
      <w:proofErr w:type="spellEnd"/>
      <w:r w:rsidR="00754A11">
        <w:rPr>
          <w:rFonts w:ascii="Garamond" w:hAnsi="Garamond"/>
        </w:rPr>
        <w:t xml:space="preserve"> on the emptying of futures and suppression of potential change in security and economic law and policy.</w:t>
      </w:r>
      <w:r w:rsidR="00754A11">
        <w:rPr>
          <w:rStyle w:val="EndnoteReference"/>
          <w:rFonts w:ascii="Garamond" w:hAnsi="Garamond"/>
        </w:rPr>
        <w:endnoteReference w:id="29"/>
      </w:r>
      <w:r w:rsidR="00404BF0">
        <w:rPr>
          <w:rFonts w:ascii="Garamond" w:hAnsi="Garamond"/>
        </w:rPr>
        <w:t xml:space="preserve">  Still,</w:t>
      </w:r>
      <w:r w:rsidR="00087334">
        <w:rPr>
          <w:rFonts w:ascii="Garamond" w:hAnsi="Garamond"/>
        </w:rPr>
        <w:t xml:space="preserve"> these examples are not typical of </w:t>
      </w:r>
      <w:r w:rsidR="001E76B1">
        <w:rPr>
          <w:rFonts w:ascii="Garamond" w:hAnsi="Garamond"/>
        </w:rPr>
        <w:t xml:space="preserve">the discipline overall </w:t>
      </w:r>
      <w:r w:rsidR="00087334">
        <w:rPr>
          <w:rFonts w:ascii="Garamond" w:hAnsi="Garamond"/>
        </w:rPr>
        <w:t>and</w:t>
      </w:r>
      <w:r w:rsidR="00404BF0">
        <w:rPr>
          <w:rFonts w:ascii="Garamond" w:hAnsi="Garamond"/>
        </w:rPr>
        <w:t xml:space="preserve"> it is fair to say that</w:t>
      </w:r>
      <w:r w:rsidR="00FF2D4D">
        <w:rPr>
          <w:rFonts w:ascii="Garamond" w:hAnsi="Garamond"/>
        </w:rPr>
        <w:t xml:space="preserve"> legal scholars</w:t>
      </w:r>
      <w:r w:rsidR="00110230">
        <w:rPr>
          <w:rFonts w:ascii="Garamond" w:hAnsi="Garamond"/>
        </w:rPr>
        <w:t>hip</w:t>
      </w:r>
      <w:r w:rsidR="00CF7128">
        <w:rPr>
          <w:rFonts w:ascii="Garamond" w:hAnsi="Garamond"/>
        </w:rPr>
        <w:t xml:space="preserve"> generally ha</w:t>
      </w:r>
      <w:r w:rsidR="00110230">
        <w:rPr>
          <w:rFonts w:ascii="Garamond" w:hAnsi="Garamond"/>
        </w:rPr>
        <w:t xml:space="preserve">s </w:t>
      </w:r>
      <w:r w:rsidR="00935313">
        <w:rPr>
          <w:rFonts w:ascii="Garamond" w:hAnsi="Garamond"/>
        </w:rPr>
        <w:t>viewed</w:t>
      </w:r>
      <w:r w:rsidR="00885265">
        <w:rPr>
          <w:rFonts w:ascii="Garamond" w:hAnsi="Garamond"/>
        </w:rPr>
        <w:t xml:space="preserve"> </w:t>
      </w:r>
      <w:r w:rsidR="00BE43C2">
        <w:rPr>
          <w:rFonts w:ascii="Garamond" w:hAnsi="Garamond"/>
        </w:rPr>
        <w:t>the future in ‘shreds and patches’</w:t>
      </w:r>
      <w:r w:rsidR="009C22A3">
        <w:rPr>
          <w:rFonts w:ascii="Garamond" w:hAnsi="Garamond"/>
        </w:rPr>
        <w:t xml:space="preserve">, to borrow </w:t>
      </w:r>
      <w:r w:rsidR="0053700E">
        <w:rPr>
          <w:rFonts w:ascii="Garamond" w:hAnsi="Garamond"/>
        </w:rPr>
        <w:t>a phrase</w:t>
      </w:r>
      <w:r w:rsidR="00FF0A35">
        <w:rPr>
          <w:rFonts w:ascii="Garamond" w:hAnsi="Garamond"/>
        </w:rPr>
        <w:t xml:space="preserve"> from anthropologist Nancy D. Munn</w:t>
      </w:r>
      <w:r w:rsidR="00391AEF">
        <w:rPr>
          <w:rFonts w:ascii="Garamond" w:hAnsi="Garamond"/>
        </w:rPr>
        <w:t>.</w:t>
      </w:r>
      <w:r w:rsidR="00885265">
        <w:rPr>
          <w:rStyle w:val="EndnoteReference"/>
          <w:rFonts w:ascii="Garamond" w:hAnsi="Garamond"/>
        </w:rPr>
        <w:endnoteReference w:id="30"/>
      </w:r>
      <w:r w:rsidR="00391AEF">
        <w:rPr>
          <w:rFonts w:ascii="Garamond" w:hAnsi="Garamond"/>
        </w:rPr>
        <w:t xml:space="preserve">  This is </w:t>
      </w:r>
      <w:r w:rsidR="004F46FF">
        <w:rPr>
          <w:rFonts w:ascii="Garamond" w:hAnsi="Garamond"/>
        </w:rPr>
        <w:t xml:space="preserve">in contrast to </w:t>
      </w:r>
      <w:r w:rsidR="00805CC2">
        <w:rPr>
          <w:rFonts w:ascii="Garamond" w:hAnsi="Garamond"/>
        </w:rPr>
        <w:t>legal history</w:t>
      </w:r>
      <w:r w:rsidR="00391AEF">
        <w:rPr>
          <w:rFonts w:ascii="Garamond" w:hAnsi="Garamond"/>
        </w:rPr>
        <w:t>,</w:t>
      </w:r>
      <w:r w:rsidR="004D6B62">
        <w:rPr>
          <w:rFonts w:ascii="Garamond" w:hAnsi="Garamond"/>
        </w:rPr>
        <w:t xml:space="preserve"> which has</w:t>
      </w:r>
      <w:r w:rsidR="00322CEA">
        <w:rPr>
          <w:rFonts w:ascii="Garamond" w:hAnsi="Garamond"/>
        </w:rPr>
        <w:t xml:space="preserve"> </w:t>
      </w:r>
      <w:r w:rsidR="008D2890">
        <w:rPr>
          <w:rFonts w:ascii="Garamond" w:hAnsi="Garamond"/>
        </w:rPr>
        <w:t xml:space="preserve">become </w:t>
      </w:r>
      <w:r w:rsidR="00B568A7">
        <w:rPr>
          <w:rFonts w:ascii="Garamond" w:hAnsi="Garamond"/>
        </w:rPr>
        <w:t>its</w:t>
      </w:r>
      <w:r w:rsidR="00285AB8">
        <w:rPr>
          <w:rFonts w:ascii="Garamond" w:hAnsi="Garamond"/>
        </w:rPr>
        <w:t xml:space="preserve"> </w:t>
      </w:r>
      <w:r w:rsidR="00B568A7">
        <w:rPr>
          <w:rFonts w:ascii="Garamond" w:hAnsi="Garamond"/>
        </w:rPr>
        <w:t>own</w:t>
      </w:r>
      <w:r w:rsidR="00A77C8E">
        <w:rPr>
          <w:rFonts w:ascii="Garamond" w:hAnsi="Garamond"/>
        </w:rPr>
        <w:t xml:space="preserve"> </w:t>
      </w:r>
      <w:r w:rsidR="00D0005C">
        <w:rPr>
          <w:rFonts w:ascii="Garamond" w:hAnsi="Garamond"/>
        </w:rPr>
        <w:t>sub-genre</w:t>
      </w:r>
      <w:r w:rsidR="00285AB8">
        <w:rPr>
          <w:rFonts w:ascii="Garamond" w:hAnsi="Garamond"/>
        </w:rPr>
        <w:t>.</w:t>
      </w:r>
      <w:r w:rsidR="00E51AC1">
        <w:rPr>
          <w:rFonts w:ascii="Garamond" w:hAnsi="Garamond"/>
        </w:rPr>
        <w:t xml:space="preserve">  </w:t>
      </w:r>
    </w:p>
    <w:p w14:paraId="44E97CB5" w14:textId="77777777" w:rsidR="00D25A3A" w:rsidRDefault="00D25A3A" w:rsidP="00E72458">
      <w:pPr>
        <w:spacing w:line="360" w:lineRule="auto"/>
        <w:rPr>
          <w:rFonts w:ascii="Garamond" w:hAnsi="Garamond"/>
        </w:rPr>
      </w:pPr>
    </w:p>
    <w:p w14:paraId="47DCD97B" w14:textId="3B46D80A" w:rsidR="00AB364A" w:rsidRDefault="00706655" w:rsidP="00E72458">
      <w:pPr>
        <w:spacing w:line="360" w:lineRule="auto"/>
        <w:rPr>
          <w:rFonts w:ascii="Garamond" w:hAnsi="Garamond"/>
        </w:rPr>
      </w:pPr>
      <w:r>
        <w:rPr>
          <w:rFonts w:ascii="Garamond" w:hAnsi="Garamond"/>
        </w:rPr>
        <w:t xml:space="preserve">It </w:t>
      </w:r>
      <w:r w:rsidR="007E4EA6">
        <w:rPr>
          <w:rFonts w:ascii="Garamond" w:hAnsi="Garamond"/>
        </w:rPr>
        <w:t xml:space="preserve">would be </w:t>
      </w:r>
      <w:r>
        <w:rPr>
          <w:rFonts w:ascii="Garamond" w:hAnsi="Garamond"/>
        </w:rPr>
        <w:t xml:space="preserve">a </w:t>
      </w:r>
      <w:r w:rsidR="007E4EA6">
        <w:rPr>
          <w:rFonts w:ascii="Garamond" w:hAnsi="Garamond"/>
        </w:rPr>
        <w:t>mistake</w:t>
      </w:r>
      <w:r>
        <w:rPr>
          <w:rFonts w:ascii="Garamond" w:hAnsi="Garamond"/>
        </w:rPr>
        <w:t xml:space="preserve">, </w:t>
      </w:r>
      <w:r w:rsidR="00FF2600">
        <w:rPr>
          <w:rFonts w:ascii="Garamond" w:hAnsi="Garamond"/>
        </w:rPr>
        <w:t>though</w:t>
      </w:r>
      <w:r>
        <w:rPr>
          <w:rFonts w:ascii="Garamond" w:hAnsi="Garamond"/>
        </w:rPr>
        <w:t xml:space="preserve">, to </w:t>
      </w:r>
      <w:r w:rsidR="00E51AC1">
        <w:rPr>
          <w:rFonts w:ascii="Garamond" w:hAnsi="Garamond"/>
        </w:rPr>
        <w:t>regard</w:t>
      </w:r>
      <w:r>
        <w:rPr>
          <w:rFonts w:ascii="Garamond" w:hAnsi="Garamond"/>
        </w:rPr>
        <w:t xml:space="preserve"> </w:t>
      </w:r>
      <w:r w:rsidR="00FD2F9A">
        <w:rPr>
          <w:rFonts w:ascii="Garamond" w:hAnsi="Garamond"/>
        </w:rPr>
        <w:t xml:space="preserve">legal </w:t>
      </w:r>
      <w:r w:rsidR="00FD2F9A" w:rsidRPr="00C66A8F">
        <w:rPr>
          <w:rFonts w:ascii="Garamond" w:hAnsi="Garamond"/>
          <w:i/>
          <w:iCs/>
        </w:rPr>
        <w:t>history</w:t>
      </w:r>
      <w:r w:rsidR="00FD2F9A">
        <w:rPr>
          <w:rFonts w:ascii="Garamond" w:hAnsi="Garamond"/>
        </w:rPr>
        <w:t xml:space="preserve"> and legal </w:t>
      </w:r>
      <w:r w:rsidR="00FD2F9A" w:rsidRPr="00C66A8F">
        <w:rPr>
          <w:rFonts w:ascii="Garamond" w:hAnsi="Garamond"/>
          <w:i/>
          <w:iCs/>
        </w:rPr>
        <w:t>futurity</w:t>
      </w:r>
      <w:r w:rsidR="003D72CE">
        <w:rPr>
          <w:rFonts w:ascii="Garamond" w:hAnsi="Garamond"/>
        </w:rPr>
        <w:t xml:space="preserve"> as </w:t>
      </w:r>
      <w:r w:rsidR="00E67120">
        <w:rPr>
          <w:rFonts w:ascii="Garamond" w:hAnsi="Garamond"/>
        </w:rPr>
        <w:t xml:space="preserve">direct </w:t>
      </w:r>
      <w:r w:rsidR="003D72CE">
        <w:rPr>
          <w:rFonts w:ascii="Garamond" w:hAnsi="Garamond"/>
        </w:rPr>
        <w:t>opposite</w:t>
      </w:r>
      <w:r w:rsidR="00C66A8F">
        <w:rPr>
          <w:rFonts w:ascii="Garamond" w:hAnsi="Garamond"/>
        </w:rPr>
        <w:t>s</w:t>
      </w:r>
      <w:r w:rsidR="000E0DBE">
        <w:rPr>
          <w:rFonts w:ascii="Garamond" w:hAnsi="Garamond"/>
        </w:rPr>
        <w:t>.</w:t>
      </w:r>
      <w:r w:rsidR="00ED7A62">
        <w:rPr>
          <w:rFonts w:ascii="Garamond" w:hAnsi="Garamond"/>
        </w:rPr>
        <w:t xml:space="preserve">  </w:t>
      </w:r>
      <w:r w:rsidR="004576E6">
        <w:rPr>
          <w:rFonts w:ascii="Garamond" w:hAnsi="Garamond"/>
        </w:rPr>
        <w:t>A</w:t>
      </w:r>
      <w:r w:rsidR="007B4196">
        <w:rPr>
          <w:rFonts w:ascii="Garamond" w:hAnsi="Garamond"/>
        </w:rPr>
        <w:t>s</w:t>
      </w:r>
      <w:r w:rsidR="00C66A8F">
        <w:rPr>
          <w:rFonts w:ascii="Garamond" w:hAnsi="Garamond"/>
        </w:rPr>
        <w:t xml:space="preserve"> many works on temporality have shown, </w:t>
      </w:r>
      <w:r w:rsidR="000861BF">
        <w:rPr>
          <w:rFonts w:ascii="Garamond" w:hAnsi="Garamond"/>
        </w:rPr>
        <w:t>t</w:t>
      </w:r>
      <w:r w:rsidR="00771585">
        <w:rPr>
          <w:rFonts w:ascii="Garamond" w:hAnsi="Garamond"/>
        </w:rPr>
        <w:t>he present is always infused with</w:t>
      </w:r>
      <w:r w:rsidR="00EF7BB2">
        <w:rPr>
          <w:rFonts w:ascii="Garamond" w:hAnsi="Garamond"/>
        </w:rPr>
        <w:t xml:space="preserve"> </w:t>
      </w:r>
      <w:r w:rsidR="00B97C13">
        <w:rPr>
          <w:rFonts w:ascii="Garamond" w:hAnsi="Garamond"/>
        </w:rPr>
        <w:t xml:space="preserve">both </w:t>
      </w:r>
      <w:r w:rsidR="00771585">
        <w:rPr>
          <w:rFonts w:ascii="Garamond" w:hAnsi="Garamond"/>
        </w:rPr>
        <w:t>pasts and futures</w:t>
      </w:r>
      <w:r w:rsidR="00625726">
        <w:rPr>
          <w:rFonts w:ascii="Garamond" w:hAnsi="Garamond"/>
        </w:rPr>
        <w:t xml:space="preserve"> – with</w:t>
      </w:r>
      <w:r w:rsidR="00EC1709">
        <w:rPr>
          <w:rFonts w:ascii="Garamond" w:hAnsi="Garamond"/>
        </w:rPr>
        <w:t xml:space="preserve"> </w:t>
      </w:r>
      <w:r w:rsidR="00B97C13">
        <w:rPr>
          <w:rFonts w:ascii="Garamond" w:hAnsi="Garamond"/>
        </w:rPr>
        <w:t xml:space="preserve">both </w:t>
      </w:r>
      <w:r w:rsidR="00EF7BB2">
        <w:rPr>
          <w:rFonts w:ascii="Garamond" w:hAnsi="Garamond"/>
        </w:rPr>
        <w:t>‘experience’ and ‘expectation’</w:t>
      </w:r>
      <w:r w:rsidR="00325977">
        <w:rPr>
          <w:rFonts w:ascii="Garamond" w:hAnsi="Garamond"/>
        </w:rPr>
        <w:t>,</w:t>
      </w:r>
      <w:r w:rsidR="00EF7BB2">
        <w:rPr>
          <w:rStyle w:val="EndnoteReference"/>
          <w:rFonts w:ascii="Garamond" w:hAnsi="Garamond"/>
        </w:rPr>
        <w:endnoteReference w:id="31"/>
      </w:r>
      <w:r w:rsidR="00325977">
        <w:rPr>
          <w:rFonts w:ascii="Garamond" w:hAnsi="Garamond"/>
        </w:rPr>
        <w:t xml:space="preserve"> with </w:t>
      </w:r>
      <w:r w:rsidR="00B97C13">
        <w:rPr>
          <w:rFonts w:ascii="Garamond" w:hAnsi="Garamond"/>
        </w:rPr>
        <w:t xml:space="preserve">both </w:t>
      </w:r>
      <w:r w:rsidR="00325977">
        <w:rPr>
          <w:rFonts w:ascii="Garamond" w:hAnsi="Garamond"/>
        </w:rPr>
        <w:t>‘retentions’ and ‘protentions’</w:t>
      </w:r>
      <w:r w:rsidR="00EC1709">
        <w:rPr>
          <w:rFonts w:ascii="Garamond" w:hAnsi="Garamond"/>
        </w:rPr>
        <w:t>.</w:t>
      </w:r>
      <w:r w:rsidR="00325977">
        <w:rPr>
          <w:rStyle w:val="EndnoteReference"/>
          <w:rFonts w:ascii="Garamond" w:hAnsi="Garamond"/>
        </w:rPr>
        <w:endnoteReference w:id="32"/>
      </w:r>
      <w:r w:rsidR="00EC1709">
        <w:rPr>
          <w:rFonts w:ascii="Garamond" w:hAnsi="Garamond"/>
        </w:rPr>
        <w:t xml:space="preserve">  </w:t>
      </w:r>
      <w:r w:rsidR="000861BF">
        <w:rPr>
          <w:rFonts w:ascii="Garamond" w:hAnsi="Garamond"/>
        </w:rPr>
        <w:t>The past</w:t>
      </w:r>
      <w:r w:rsidR="00BE3C6E">
        <w:rPr>
          <w:rFonts w:ascii="Garamond" w:hAnsi="Garamond"/>
        </w:rPr>
        <w:t xml:space="preserve">, </w:t>
      </w:r>
      <w:r w:rsidR="000861BF">
        <w:rPr>
          <w:rFonts w:ascii="Garamond" w:hAnsi="Garamond"/>
        </w:rPr>
        <w:t>presen</w:t>
      </w:r>
      <w:r w:rsidR="00BE3C6E">
        <w:rPr>
          <w:rFonts w:ascii="Garamond" w:hAnsi="Garamond"/>
        </w:rPr>
        <w:t xml:space="preserve">t and future </w:t>
      </w:r>
      <w:r w:rsidR="000861BF">
        <w:rPr>
          <w:rFonts w:ascii="Garamond" w:hAnsi="Garamond"/>
        </w:rPr>
        <w:t xml:space="preserve">cannot be </w:t>
      </w:r>
      <w:r w:rsidR="00BE3C6E">
        <w:rPr>
          <w:rFonts w:ascii="Garamond" w:hAnsi="Garamond"/>
        </w:rPr>
        <w:t>disentangled</w:t>
      </w:r>
      <w:r w:rsidR="00B27936">
        <w:rPr>
          <w:rFonts w:ascii="Garamond" w:hAnsi="Garamond"/>
        </w:rPr>
        <w:t xml:space="preserve"> </w:t>
      </w:r>
      <w:r w:rsidR="000417A1">
        <w:rPr>
          <w:rFonts w:ascii="Garamond" w:hAnsi="Garamond"/>
        </w:rPr>
        <w:t>because they are integral to each other</w:t>
      </w:r>
      <w:r w:rsidR="00441DEA">
        <w:rPr>
          <w:rFonts w:ascii="Garamond" w:hAnsi="Garamond"/>
        </w:rPr>
        <w:t>.</w:t>
      </w:r>
      <w:r w:rsidR="00441DEA">
        <w:rPr>
          <w:rStyle w:val="EndnoteReference"/>
          <w:rFonts w:ascii="Garamond" w:hAnsi="Garamond"/>
        </w:rPr>
        <w:endnoteReference w:id="33"/>
      </w:r>
      <w:r w:rsidR="00441DEA">
        <w:rPr>
          <w:rFonts w:ascii="Garamond" w:hAnsi="Garamond"/>
        </w:rPr>
        <w:t xml:space="preserve">  ‘All our pasts’, says Dipesh Chakrabarty, ‘are futural in orientation</w:t>
      </w:r>
      <w:r w:rsidR="00756E1C">
        <w:rPr>
          <w:rFonts w:ascii="Garamond" w:hAnsi="Garamond"/>
        </w:rPr>
        <w:t>’</w:t>
      </w:r>
      <w:r w:rsidR="00E9357E">
        <w:rPr>
          <w:rFonts w:ascii="Garamond" w:hAnsi="Garamond"/>
        </w:rPr>
        <w:t>.</w:t>
      </w:r>
      <w:r w:rsidR="00441DEA">
        <w:rPr>
          <w:rStyle w:val="EndnoteReference"/>
          <w:rFonts w:ascii="Garamond" w:hAnsi="Garamond"/>
        </w:rPr>
        <w:endnoteReference w:id="34"/>
      </w:r>
      <w:r w:rsidR="00B27936">
        <w:rPr>
          <w:rFonts w:ascii="Garamond" w:hAnsi="Garamond"/>
        </w:rPr>
        <w:t xml:space="preserve">  </w:t>
      </w:r>
      <w:r w:rsidR="00C35C65">
        <w:rPr>
          <w:rFonts w:ascii="Garamond" w:hAnsi="Garamond"/>
        </w:rPr>
        <w:t>In Munn’s words</w:t>
      </w:r>
      <w:r w:rsidR="00587100">
        <w:rPr>
          <w:rFonts w:ascii="Garamond" w:hAnsi="Garamond"/>
        </w:rPr>
        <w:t xml:space="preserve">: </w:t>
      </w:r>
      <w:r w:rsidR="001B37A8">
        <w:rPr>
          <w:rFonts w:ascii="Garamond" w:hAnsi="Garamond"/>
        </w:rPr>
        <w:t>‘Ways of attending to the past also create modes of apprehending certain futures or of reconstructing a particular sense of the past in the present that informs the treatment of “the future in the present”</w:t>
      </w:r>
      <w:r w:rsidR="00BE3C6E">
        <w:rPr>
          <w:rFonts w:ascii="Garamond" w:hAnsi="Garamond"/>
        </w:rPr>
        <w:t>’.</w:t>
      </w:r>
      <w:r w:rsidR="005327D2">
        <w:rPr>
          <w:rStyle w:val="EndnoteReference"/>
          <w:rFonts w:ascii="Garamond" w:hAnsi="Garamond"/>
        </w:rPr>
        <w:endnoteReference w:id="35"/>
      </w:r>
      <w:r w:rsidR="00256FDF">
        <w:rPr>
          <w:rFonts w:ascii="Garamond" w:hAnsi="Garamond"/>
        </w:rPr>
        <w:t xml:space="preserve">  However </w:t>
      </w:r>
      <w:r w:rsidR="00A04762">
        <w:rPr>
          <w:rFonts w:ascii="Garamond" w:hAnsi="Garamond"/>
        </w:rPr>
        <w:t>self-</w:t>
      </w:r>
      <w:r w:rsidR="004A3D0E">
        <w:rPr>
          <w:rFonts w:ascii="Garamond" w:hAnsi="Garamond"/>
        </w:rPr>
        <w:t>contained</w:t>
      </w:r>
      <w:r w:rsidR="00496783">
        <w:rPr>
          <w:rFonts w:ascii="Garamond" w:hAnsi="Garamond"/>
        </w:rPr>
        <w:t xml:space="preserve"> the </w:t>
      </w:r>
      <w:r w:rsidR="0083128F">
        <w:rPr>
          <w:rFonts w:ascii="Garamond" w:hAnsi="Garamond"/>
        </w:rPr>
        <w:t>past, present and future</w:t>
      </w:r>
      <w:r w:rsidR="00A04762">
        <w:rPr>
          <w:rFonts w:ascii="Garamond" w:hAnsi="Garamond"/>
        </w:rPr>
        <w:t xml:space="preserve"> </w:t>
      </w:r>
      <w:r w:rsidR="00FF2600">
        <w:rPr>
          <w:rFonts w:ascii="Garamond" w:hAnsi="Garamond"/>
        </w:rPr>
        <w:t xml:space="preserve">might </w:t>
      </w:r>
      <w:r w:rsidR="00C35C65">
        <w:rPr>
          <w:rFonts w:ascii="Garamond" w:hAnsi="Garamond"/>
        </w:rPr>
        <w:t xml:space="preserve">appear, the research </w:t>
      </w:r>
      <w:r w:rsidR="00B647EB">
        <w:rPr>
          <w:rFonts w:ascii="Garamond" w:hAnsi="Garamond"/>
        </w:rPr>
        <w:t xml:space="preserve">reveals porousness and fluidity, </w:t>
      </w:r>
      <w:r w:rsidR="009878AB">
        <w:rPr>
          <w:rFonts w:ascii="Garamond" w:hAnsi="Garamond"/>
        </w:rPr>
        <w:t xml:space="preserve">opening the door to </w:t>
      </w:r>
      <w:r w:rsidR="00B647EB">
        <w:rPr>
          <w:rFonts w:ascii="Garamond" w:hAnsi="Garamond"/>
        </w:rPr>
        <w:t xml:space="preserve">more processual </w:t>
      </w:r>
      <w:r w:rsidR="009878AB">
        <w:rPr>
          <w:rFonts w:ascii="Garamond" w:hAnsi="Garamond"/>
        </w:rPr>
        <w:t>understandin</w:t>
      </w:r>
      <w:r w:rsidR="00241F8A">
        <w:rPr>
          <w:rFonts w:ascii="Garamond" w:hAnsi="Garamond"/>
        </w:rPr>
        <w:t xml:space="preserve">gs of temporality </w:t>
      </w:r>
      <w:r w:rsidR="00B647EB">
        <w:rPr>
          <w:rFonts w:ascii="Garamond" w:hAnsi="Garamond"/>
        </w:rPr>
        <w:t>as a sphere of ‘dynamic simultaneity’.</w:t>
      </w:r>
      <w:r w:rsidR="00B647EB">
        <w:rPr>
          <w:rStyle w:val="EndnoteReference"/>
          <w:rFonts w:ascii="Garamond" w:hAnsi="Garamond"/>
        </w:rPr>
        <w:endnoteReference w:id="36"/>
      </w:r>
      <w:r w:rsidR="00B647EB">
        <w:rPr>
          <w:rFonts w:ascii="Garamond" w:hAnsi="Garamond"/>
        </w:rPr>
        <w:t xml:space="preserve">  </w:t>
      </w:r>
      <w:r w:rsidR="00AB364A">
        <w:rPr>
          <w:rFonts w:ascii="Garamond" w:hAnsi="Garamond"/>
        </w:rPr>
        <w:t>For Adam, [t]here is no single time, only a multitude of times which interpenetrate and permeate our lives’.</w:t>
      </w:r>
      <w:r w:rsidR="00AB364A">
        <w:rPr>
          <w:rStyle w:val="EndnoteReference"/>
          <w:rFonts w:ascii="Garamond" w:hAnsi="Garamond"/>
        </w:rPr>
        <w:endnoteReference w:id="37"/>
      </w:r>
    </w:p>
    <w:p w14:paraId="77DDE577" w14:textId="77777777" w:rsidR="00AB364A" w:rsidRDefault="00AB364A" w:rsidP="00E72458">
      <w:pPr>
        <w:spacing w:line="360" w:lineRule="auto"/>
        <w:rPr>
          <w:rFonts w:ascii="Garamond" w:hAnsi="Garamond"/>
        </w:rPr>
      </w:pPr>
    </w:p>
    <w:p w14:paraId="7077178B" w14:textId="09CADCDD" w:rsidR="00DD2838" w:rsidRDefault="000F46B6" w:rsidP="00E72458">
      <w:pPr>
        <w:spacing w:line="360" w:lineRule="auto"/>
        <w:rPr>
          <w:rFonts w:ascii="Garamond" w:hAnsi="Garamond"/>
        </w:rPr>
      </w:pPr>
      <w:r>
        <w:rPr>
          <w:rFonts w:ascii="Garamond" w:hAnsi="Garamond"/>
        </w:rPr>
        <w:t xml:space="preserve">What this means is that </w:t>
      </w:r>
      <w:r w:rsidR="00D279BA">
        <w:rPr>
          <w:rFonts w:ascii="Garamond" w:hAnsi="Garamond"/>
        </w:rPr>
        <w:t>the future</w:t>
      </w:r>
      <w:r w:rsidR="00D42429">
        <w:rPr>
          <w:rFonts w:ascii="Garamond" w:hAnsi="Garamond"/>
        </w:rPr>
        <w:t>,</w:t>
      </w:r>
      <w:r w:rsidR="00D279BA">
        <w:rPr>
          <w:rFonts w:ascii="Garamond" w:hAnsi="Garamond"/>
        </w:rPr>
        <w:t xml:space="preserve"> </w:t>
      </w:r>
      <w:r w:rsidR="00587BEC">
        <w:rPr>
          <w:rFonts w:ascii="Garamond" w:hAnsi="Garamond"/>
        </w:rPr>
        <w:t>and its manifestations in the present</w:t>
      </w:r>
      <w:r w:rsidR="00D42429">
        <w:rPr>
          <w:rFonts w:ascii="Garamond" w:hAnsi="Garamond"/>
        </w:rPr>
        <w:t>,</w:t>
      </w:r>
      <w:r w:rsidR="00D279BA">
        <w:rPr>
          <w:rFonts w:ascii="Garamond" w:hAnsi="Garamond"/>
        </w:rPr>
        <w:t xml:space="preserve"> </w:t>
      </w:r>
      <w:r w:rsidR="002C4217">
        <w:rPr>
          <w:rFonts w:ascii="Garamond" w:hAnsi="Garamond"/>
        </w:rPr>
        <w:t xml:space="preserve">cannot be satisfactorily understood or explained in </w:t>
      </w:r>
      <w:r w:rsidR="00391F1E">
        <w:rPr>
          <w:rFonts w:ascii="Garamond" w:hAnsi="Garamond"/>
        </w:rPr>
        <w:t>isolation from</w:t>
      </w:r>
      <w:r w:rsidR="007E6435">
        <w:rPr>
          <w:rFonts w:ascii="Garamond" w:hAnsi="Garamond"/>
        </w:rPr>
        <w:t xml:space="preserve"> the multiple, intersecting historical trajectories that </w:t>
      </w:r>
      <w:r w:rsidR="00D9020D">
        <w:rPr>
          <w:rFonts w:ascii="Garamond" w:hAnsi="Garamond"/>
        </w:rPr>
        <w:t xml:space="preserve">are also implicated </w:t>
      </w:r>
      <w:r w:rsidR="00D0674B">
        <w:rPr>
          <w:rFonts w:ascii="Garamond" w:hAnsi="Garamond"/>
        </w:rPr>
        <w:t xml:space="preserve">in </w:t>
      </w:r>
      <w:r w:rsidR="00FC1902">
        <w:rPr>
          <w:rFonts w:ascii="Garamond" w:hAnsi="Garamond"/>
        </w:rPr>
        <w:t>the framing of times yet to come</w:t>
      </w:r>
      <w:r w:rsidR="007E6435">
        <w:rPr>
          <w:rFonts w:ascii="Garamond" w:hAnsi="Garamond"/>
        </w:rPr>
        <w:t>.</w:t>
      </w:r>
      <w:r w:rsidR="006E7347">
        <w:rPr>
          <w:rFonts w:ascii="Garamond" w:hAnsi="Garamond"/>
        </w:rPr>
        <w:t xml:space="preserve">  The </w:t>
      </w:r>
      <w:r w:rsidR="004371A9">
        <w:rPr>
          <w:rFonts w:ascii="Garamond" w:hAnsi="Garamond"/>
        </w:rPr>
        <w:t>treatment</w:t>
      </w:r>
      <w:r w:rsidR="00F14276">
        <w:rPr>
          <w:rFonts w:ascii="Garamond" w:hAnsi="Garamond"/>
        </w:rPr>
        <w:t xml:space="preserve"> of</w:t>
      </w:r>
      <w:r w:rsidR="006E7347">
        <w:rPr>
          <w:rFonts w:ascii="Garamond" w:hAnsi="Garamond"/>
        </w:rPr>
        <w:t xml:space="preserve"> the</w:t>
      </w:r>
      <w:r w:rsidR="00853998">
        <w:rPr>
          <w:rFonts w:ascii="Garamond" w:hAnsi="Garamond"/>
        </w:rPr>
        <w:t xml:space="preserve"> future as </w:t>
      </w:r>
      <w:r w:rsidR="00207955">
        <w:rPr>
          <w:rFonts w:ascii="Garamond" w:hAnsi="Garamond"/>
        </w:rPr>
        <w:t xml:space="preserve">a simultaneous co-presence of </w:t>
      </w:r>
      <w:r w:rsidR="00D761B5">
        <w:rPr>
          <w:rFonts w:ascii="Garamond" w:hAnsi="Garamond"/>
        </w:rPr>
        <w:t>temporal features</w:t>
      </w:r>
      <w:r w:rsidR="00207955">
        <w:rPr>
          <w:rFonts w:ascii="Garamond" w:hAnsi="Garamond"/>
        </w:rPr>
        <w:t xml:space="preserve"> is</w:t>
      </w:r>
      <w:r w:rsidR="0074624B">
        <w:rPr>
          <w:rFonts w:ascii="Garamond" w:hAnsi="Garamond"/>
        </w:rPr>
        <w:t xml:space="preserve"> </w:t>
      </w:r>
      <w:r w:rsidR="00A729E2">
        <w:rPr>
          <w:rFonts w:ascii="Garamond" w:hAnsi="Garamond"/>
        </w:rPr>
        <w:t>elaborated</w:t>
      </w:r>
      <w:r w:rsidR="004371A9">
        <w:rPr>
          <w:rFonts w:ascii="Garamond" w:hAnsi="Garamond"/>
        </w:rPr>
        <w:t xml:space="preserve"> </w:t>
      </w:r>
      <w:r w:rsidR="006E7347">
        <w:rPr>
          <w:rFonts w:ascii="Garamond" w:hAnsi="Garamond"/>
        </w:rPr>
        <w:t xml:space="preserve">by </w:t>
      </w:r>
      <w:r w:rsidR="00A729E2">
        <w:rPr>
          <w:rFonts w:ascii="Garamond" w:hAnsi="Garamond"/>
        </w:rPr>
        <w:t xml:space="preserve">Adam in </w:t>
      </w:r>
      <w:r w:rsidR="00FD5668">
        <w:rPr>
          <w:rFonts w:ascii="Garamond" w:hAnsi="Garamond"/>
        </w:rPr>
        <w:t xml:space="preserve">her </w:t>
      </w:r>
      <w:r w:rsidR="00D45FD2">
        <w:rPr>
          <w:rFonts w:ascii="Garamond" w:hAnsi="Garamond"/>
        </w:rPr>
        <w:t>conceptualisation of</w:t>
      </w:r>
      <w:r w:rsidR="00FD5668">
        <w:rPr>
          <w:rFonts w:ascii="Garamond" w:hAnsi="Garamond"/>
        </w:rPr>
        <w:t xml:space="preserve"> ‘timescapes’,</w:t>
      </w:r>
      <w:r w:rsidR="00FD5668">
        <w:rPr>
          <w:rStyle w:val="EndnoteReference"/>
          <w:rFonts w:ascii="Garamond" w:hAnsi="Garamond"/>
        </w:rPr>
        <w:endnoteReference w:id="38"/>
      </w:r>
      <w:r w:rsidR="00FD5668">
        <w:rPr>
          <w:rFonts w:ascii="Garamond" w:hAnsi="Garamond"/>
        </w:rPr>
        <w:t xml:space="preserve"> and latterly</w:t>
      </w:r>
      <w:r w:rsidR="00A729E2">
        <w:rPr>
          <w:rFonts w:ascii="Garamond" w:hAnsi="Garamond"/>
        </w:rPr>
        <w:t xml:space="preserve"> </w:t>
      </w:r>
      <w:r w:rsidR="001B0260">
        <w:rPr>
          <w:rFonts w:ascii="Garamond" w:hAnsi="Garamond"/>
        </w:rPr>
        <w:t>‘futurescapes’</w:t>
      </w:r>
      <w:r w:rsidR="00FD5668">
        <w:rPr>
          <w:rFonts w:ascii="Garamond" w:hAnsi="Garamond"/>
        </w:rPr>
        <w:t>.</w:t>
      </w:r>
      <w:r w:rsidR="00FD5668">
        <w:rPr>
          <w:rStyle w:val="EndnoteReference"/>
          <w:rFonts w:ascii="Garamond" w:hAnsi="Garamond"/>
        </w:rPr>
        <w:endnoteReference w:id="39"/>
      </w:r>
      <w:r w:rsidR="00FD5668">
        <w:rPr>
          <w:rFonts w:ascii="Garamond" w:hAnsi="Garamond"/>
        </w:rPr>
        <w:t xml:space="preserve">  The</w:t>
      </w:r>
      <w:r w:rsidR="008A22A2">
        <w:rPr>
          <w:rFonts w:ascii="Garamond" w:hAnsi="Garamond"/>
        </w:rPr>
        <w:t xml:space="preserve"> suffix</w:t>
      </w:r>
      <w:r w:rsidR="00FD5668">
        <w:rPr>
          <w:rFonts w:ascii="Garamond" w:hAnsi="Garamond"/>
        </w:rPr>
        <w:t xml:space="preserve"> ‘scape’</w:t>
      </w:r>
      <w:r w:rsidR="004E5DEA">
        <w:rPr>
          <w:rFonts w:ascii="Garamond" w:hAnsi="Garamond"/>
        </w:rPr>
        <w:t xml:space="preserve"> </w:t>
      </w:r>
      <w:r w:rsidR="008A22A2">
        <w:rPr>
          <w:rFonts w:ascii="Garamond" w:hAnsi="Garamond"/>
        </w:rPr>
        <w:t>– as in landscape</w:t>
      </w:r>
      <w:r w:rsidR="001B0311">
        <w:rPr>
          <w:rFonts w:ascii="Garamond" w:hAnsi="Garamond"/>
        </w:rPr>
        <w:t xml:space="preserve"> </w:t>
      </w:r>
      <w:r w:rsidR="008A22A2">
        <w:rPr>
          <w:rFonts w:ascii="Garamond" w:hAnsi="Garamond"/>
        </w:rPr>
        <w:t xml:space="preserve">or cityscape – </w:t>
      </w:r>
      <w:r w:rsidR="003D6E40">
        <w:rPr>
          <w:rFonts w:ascii="Garamond" w:hAnsi="Garamond"/>
        </w:rPr>
        <w:t>signal</w:t>
      </w:r>
      <w:r w:rsidR="000F1276">
        <w:rPr>
          <w:rFonts w:ascii="Garamond" w:hAnsi="Garamond"/>
        </w:rPr>
        <w:t>s</w:t>
      </w:r>
      <w:r w:rsidR="00CE2AA8">
        <w:rPr>
          <w:rFonts w:ascii="Garamond" w:hAnsi="Garamond"/>
        </w:rPr>
        <w:t xml:space="preserve"> that thinking about time necessarily has implications for how we </w:t>
      </w:r>
      <w:r w:rsidR="00922B12">
        <w:rPr>
          <w:rFonts w:ascii="Garamond" w:hAnsi="Garamond"/>
        </w:rPr>
        <w:t>imagine</w:t>
      </w:r>
      <w:r w:rsidR="00475A2E">
        <w:rPr>
          <w:rFonts w:ascii="Garamond" w:hAnsi="Garamond"/>
        </w:rPr>
        <w:t xml:space="preserve"> space</w:t>
      </w:r>
      <w:r w:rsidR="00E939D7">
        <w:rPr>
          <w:rFonts w:ascii="Garamond" w:hAnsi="Garamond"/>
        </w:rPr>
        <w:t xml:space="preserve"> and spatial relations</w:t>
      </w:r>
      <w:r w:rsidR="00593911">
        <w:rPr>
          <w:rFonts w:ascii="Garamond" w:hAnsi="Garamond"/>
        </w:rPr>
        <w:t>.</w:t>
      </w:r>
      <w:r w:rsidR="000F1276">
        <w:rPr>
          <w:rStyle w:val="EndnoteReference"/>
          <w:rFonts w:ascii="Garamond" w:hAnsi="Garamond"/>
        </w:rPr>
        <w:endnoteReference w:id="40"/>
      </w:r>
      <w:r w:rsidR="008A22A2">
        <w:rPr>
          <w:rFonts w:ascii="Garamond" w:hAnsi="Garamond"/>
        </w:rPr>
        <w:t xml:space="preserve">  It has further significance because it</w:t>
      </w:r>
      <w:r w:rsidR="00C917E6">
        <w:rPr>
          <w:rFonts w:ascii="Garamond" w:hAnsi="Garamond"/>
        </w:rPr>
        <w:t xml:space="preserve"> </w:t>
      </w:r>
      <w:r w:rsidR="00393D3D">
        <w:rPr>
          <w:rFonts w:ascii="Garamond" w:hAnsi="Garamond"/>
        </w:rPr>
        <w:t>says something about</w:t>
      </w:r>
      <w:r w:rsidR="00C917E6">
        <w:rPr>
          <w:rFonts w:ascii="Garamond" w:hAnsi="Garamond"/>
        </w:rPr>
        <w:t xml:space="preserve"> the approach to analysis, which is to see </w:t>
      </w:r>
      <w:r w:rsidR="000C0999">
        <w:rPr>
          <w:rFonts w:ascii="Garamond" w:hAnsi="Garamond"/>
        </w:rPr>
        <w:t>time as a</w:t>
      </w:r>
      <w:r w:rsidR="001B0311">
        <w:rPr>
          <w:rFonts w:ascii="Garamond" w:hAnsi="Garamond"/>
        </w:rPr>
        <w:t xml:space="preserve"> domain</w:t>
      </w:r>
      <w:r w:rsidR="001C6683">
        <w:rPr>
          <w:rFonts w:ascii="Garamond" w:hAnsi="Garamond"/>
        </w:rPr>
        <w:t xml:space="preserve"> </w:t>
      </w:r>
      <w:r w:rsidR="000C0999">
        <w:rPr>
          <w:rFonts w:ascii="Garamond" w:hAnsi="Garamond"/>
        </w:rPr>
        <w:t xml:space="preserve">that is always </w:t>
      </w:r>
      <w:r w:rsidR="00897BBF">
        <w:rPr>
          <w:rFonts w:ascii="Garamond" w:hAnsi="Garamond"/>
        </w:rPr>
        <w:t xml:space="preserve">in </w:t>
      </w:r>
      <w:r w:rsidR="008D6C64">
        <w:rPr>
          <w:rFonts w:ascii="Garamond" w:hAnsi="Garamond"/>
        </w:rPr>
        <w:t>formation</w:t>
      </w:r>
      <w:r w:rsidR="00715969">
        <w:rPr>
          <w:rFonts w:ascii="Garamond" w:hAnsi="Garamond"/>
        </w:rPr>
        <w:t>,</w:t>
      </w:r>
      <w:r w:rsidR="007D4545">
        <w:rPr>
          <w:rFonts w:ascii="Garamond" w:hAnsi="Garamond"/>
        </w:rPr>
        <w:t xml:space="preserve"> always</w:t>
      </w:r>
      <w:r w:rsidR="00715969">
        <w:rPr>
          <w:rFonts w:ascii="Garamond" w:hAnsi="Garamond"/>
        </w:rPr>
        <w:t xml:space="preserve"> </w:t>
      </w:r>
      <w:r w:rsidR="005B4C3F">
        <w:rPr>
          <w:rFonts w:ascii="Garamond" w:hAnsi="Garamond"/>
        </w:rPr>
        <w:t>incomplete</w:t>
      </w:r>
      <w:r w:rsidR="00715969">
        <w:rPr>
          <w:rFonts w:ascii="Garamond" w:hAnsi="Garamond"/>
        </w:rPr>
        <w:t xml:space="preserve"> and open to being re-</w:t>
      </w:r>
      <w:r w:rsidR="00DD2838">
        <w:rPr>
          <w:rFonts w:ascii="Garamond" w:hAnsi="Garamond"/>
        </w:rPr>
        <w:t>formed</w:t>
      </w:r>
      <w:r w:rsidR="00715969">
        <w:rPr>
          <w:rFonts w:ascii="Garamond" w:hAnsi="Garamond"/>
        </w:rPr>
        <w:t xml:space="preserve">.  </w:t>
      </w:r>
      <w:r w:rsidR="006535A8">
        <w:rPr>
          <w:rFonts w:ascii="Garamond" w:hAnsi="Garamond"/>
        </w:rPr>
        <w:t>Adam explains that a landscape, and by extension a timescape, ‘tells a story of immanent forces, o</w:t>
      </w:r>
      <w:r w:rsidR="000E5346">
        <w:rPr>
          <w:rFonts w:ascii="Garamond" w:hAnsi="Garamond"/>
        </w:rPr>
        <w:t>f</w:t>
      </w:r>
      <w:r w:rsidR="006535A8">
        <w:rPr>
          <w:rFonts w:ascii="Garamond" w:hAnsi="Garamond"/>
        </w:rPr>
        <w:t xml:space="preserve"> interdependent, contingent interactions that have given rise to its existence’.</w:t>
      </w:r>
      <w:r w:rsidR="006535A8">
        <w:rPr>
          <w:rStyle w:val="EndnoteReference"/>
          <w:rFonts w:ascii="Garamond" w:hAnsi="Garamond"/>
        </w:rPr>
        <w:endnoteReference w:id="41"/>
      </w:r>
      <w:r w:rsidR="00D42429">
        <w:rPr>
          <w:rFonts w:ascii="Garamond" w:hAnsi="Garamond"/>
        </w:rPr>
        <w:t xml:space="preserve">  </w:t>
      </w:r>
    </w:p>
    <w:p w14:paraId="5C604F0D" w14:textId="77777777" w:rsidR="00DD2838" w:rsidRDefault="00DD2838" w:rsidP="00E72458">
      <w:pPr>
        <w:spacing w:line="360" w:lineRule="auto"/>
        <w:rPr>
          <w:rFonts w:ascii="Garamond" w:hAnsi="Garamond"/>
        </w:rPr>
      </w:pPr>
    </w:p>
    <w:p w14:paraId="4B2BB4E3" w14:textId="14A4F4CA" w:rsidR="00677B9C" w:rsidRDefault="00D42429" w:rsidP="00E72458">
      <w:pPr>
        <w:spacing w:line="360" w:lineRule="auto"/>
        <w:rPr>
          <w:rFonts w:ascii="Garamond" w:hAnsi="Garamond"/>
        </w:rPr>
      </w:pPr>
      <w:r>
        <w:rPr>
          <w:rFonts w:ascii="Garamond" w:hAnsi="Garamond"/>
        </w:rPr>
        <w:t xml:space="preserve">A futurescape is similarly conceived, except it </w:t>
      </w:r>
      <w:r w:rsidR="00C43839">
        <w:rPr>
          <w:rFonts w:ascii="Garamond" w:hAnsi="Garamond"/>
        </w:rPr>
        <w:t>reflects</w:t>
      </w:r>
      <w:r w:rsidR="00393D3D">
        <w:rPr>
          <w:rFonts w:ascii="Garamond" w:hAnsi="Garamond"/>
        </w:rPr>
        <w:t xml:space="preserve"> </w:t>
      </w:r>
      <w:r w:rsidR="005032D0">
        <w:rPr>
          <w:rFonts w:ascii="Garamond" w:hAnsi="Garamond"/>
        </w:rPr>
        <w:t xml:space="preserve">a deeper </w:t>
      </w:r>
      <w:r w:rsidR="00393D3D">
        <w:rPr>
          <w:rFonts w:ascii="Garamond" w:hAnsi="Garamond"/>
        </w:rPr>
        <w:t xml:space="preserve">frustration </w:t>
      </w:r>
      <w:r w:rsidR="00C43839">
        <w:rPr>
          <w:rFonts w:ascii="Garamond" w:hAnsi="Garamond"/>
        </w:rPr>
        <w:t>over</w:t>
      </w:r>
      <w:r w:rsidR="005032D0">
        <w:rPr>
          <w:rFonts w:ascii="Garamond" w:hAnsi="Garamond"/>
        </w:rPr>
        <w:t xml:space="preserve"> </w:t>
      </w:r>
      <w:r w:rsidR="00C43839">
        <w:rPr>
          <w:rFonts w:ascii="Garamond" w:hAnsi="Garamond"/>
        </w:rPr>
        <w:t xml:space="preserve">the </w:t>
      </w:r>
      <w:r w:rsidR="005032D0">
        <w:rPr>
          <w:rFonts w:ascii="Garamond" w:hAnsi="Garamond"/>
        </w:rPr>
        <w:t xml:space="preserve">lack </w:t>
      </w:r>
      <w:r w:rsidR="00C43839">
        <w:rPr>
          <w:rFonts w:ascii="Garamond" w:hAnsi="Garamond"/>
        </w:rPr>
        <w:t>sociological</w:t>
      </w:r>
      <w:r w:rsidR="005032D0">
        <w:rPr>
          <w:rFonts w:ascii="Garamond" w:hAnsi="Garamond"/>
        </w:rPr>
        <w:t xml:space="preserve"> tools</w:t>
      </w:r>
      <w:r w:rsidR="004C3608">
        <w:rPr>
          <w:rFonts w:ascii="Garamond" w:hAnsi="Garamond"/>
        </w:rPr>
        <w:t xml:space="preserve"> and </w:t>
      </w:r>
      <w:r w:rsidR="005032D0">
        <w:rPr>
          <w:rFonts w:ascii="Garamond" w:hAnsi="Garamond"/>
        </w:rPr>
        <w:t>methods</w:t>
      </w:r>
      <w:r w:rsidR="004C3608">
        <w:rPr>
          <w:rFonts w:ascii="Garamond" w:hAnsi="Garamond"/>
        </w:rPr>
        <w:t xml:space="preserve">, and until </w:t>
      </w:r>
      <w:r w:rsidR="00DD2838">
        <w:rPr>
          <w:rFonts w:ascii="Garamond" w:hAnsi="Garamond"/>
        </w:rPr>
        <w:t xml:space="preserve">relatively </w:t>
      </w:r>
      <w:r w:rsidR="004C3608">
        <w:rPr>
          <w:rFonts w:ascii="Garamond" w:hAnsi="Garamond"/>
        </w:rPr>
        <w:t>recently the lack of enthusiasm,</w:t>
      </w:r>
      <w:r w:rsidR="005032D0">
        <w:rPr>
          <w:rFonts w:ascii="Garamond" w:hAnsi="Garamond"/>
        </w:rPr>
        <w:t xml:space="preserve"> for taking the social reality of futures seriously.</w:t>
      </w:r>
      <w:r w:rsidR="009C71CC">
        <w:rPr>
          <w:rFonts w:ascii="Garamond" w:hAnsi="Garamond"/>
        </w:rPr>
        <w:t xml:space="preserve">  S</w:t>
      </w:r>
      <w:r w:rsidR="0004058C">
        <w:rPr>
          <w:rFonts w:ascii="Garamond" w:hAnsi="Garamond"/>
        </w:rPr>
        <w:t xml:space="preserve">ocial scientists are </w:t>
      </w:r>
      <w:r w:rsidR="00AA4402">
        <w:rPr>
          <w:rFonts w:ascii="Garamond" w:hAnsi="Garamond"/>
        </w:rPr>
        <w:t>well-</w:t>
      </w:r>
      <w:r w:rsidR="0004058C">
        <w:rPr>
          <w:rFonts w:ascii="Garamond" w:hAnsi="Garamond"/>
        </w:rPr>
        <w:t>equipped to study ‘present-futures’</w:t>
      </w:r>
      <w:r w:rsidR="009C71CC">
        <w:rPr>
          <w:rFonts w:ascii="Garamond" w:hAnsi="Garamond"/>
        </w:rPr>
        <w:t xml:space="preserve">, </w:t>
      </w:r>
      <w:r w:rsidR="0004058C">
        <w:rPr>
          <w:rFonts w:ascii="Garamond" w:hAnsi="Garamond"/>
        </w:rPr>
        <w:t xml:space="preserve">that is, </w:t>
      </w:r>
      <w:r w:rsidR="001B3C47">
        <w:rPr>
          <w:rFonts w:ascii="Garamond" w:hAnsi="Garamond"/>
        </w:rPr>
        <w:t xml:space="preserve">the realm of prediction, plans, </w:t>
      </w:r>
      <w:r w:rsidR="00AA4402">
        <w:rPr>
          <w:rFonts w:ascii="Garamond" w:hAnsi="Garamond"/>
        </w:rPr>
        <w:t xml:space="preserve">promises, </w:t>
      </w:r>
      <w:r w:rsidR="001B3C47">
        <w:rPr>
          <w:rFonts w:ascii="Garamond" w:hAnsi="Garamond"/>
        </w:rPr>
        <w:t xml:space="preserve">models, strategies and </w:t>
      </w:r>
      <w:r w:rsidR="004C3608">
        <w:rPr>
          <w:rFonts w:ascii="Garamond" w:hAnsi="Garamond"/>
        </w:rPr>
        <w:t>other rational instrumentalities</w:t>
      </w:r>
      <w:r w:rsidR="009C71CC">
        <w:rPr>
          <w:rFonts w:ascii="Garamond" w:hAnsi="Garamond"/>
        </w:rPr>
        <w:t xml:space="preserve"> for </w:t>
      </w:r>
      <w:r w:rsidR="004C3608">
        <w:rPr>
          <w:rFonts w:ascii="Garamond" w:hAnsi="Garamond"/>
        </w:rPr>
        <w:t>deciphering</w:t>
      </w:r>
      <w:r w:rsidR="00100AB0">
        <w:rPr>
          <w:rFonts w:ascii="Garamond" w:hAnsi="Garamond"/>
        </w:rPr>
        <w:t xml:space="preserve"> </w:t>
      </w:r>
      <w:r w:rsidR="00D7007A">
        <w:rPr>
          <w:rFonts w:ascii="Garamond" w:hAnsi="Garamond"/>
        </w:rPr>
        <w:t xml:space="preserve">what </w:t>
      </w:r>
      <w:r w:rsidR="009C71CC">
        <w:rPr>
          <w:rFonts w:ascii="Garamond" w:hAnsi="Garamond"/>
        </w:rPr>
        <w:t>the future ‘will be’</w:t>
      </w:r>
      <w:r w:rsidR="004C3608">
        <w:rPr>
          <w:rFonts w:ascii="Garamond" w:hAnsi="Garamond"/>
        </w:rPr>
        <w:t xml:space="preserve">.  By contrast, </w:t>
      </w:r>
      <w:r w:rsidR="0004058C">
        <w:rPr>
          <w:rFonts w:ascii="Garamond" w:hAnsi="Garamond"/>
        </w:rPr>
        <w:t>‘</w:t>
      </w:r>
      <w:r w:rsidR="009C71CC">
        <w:rPr>
          <w:rFonts w:ascii="Garamond" w:hAnsi="Garamond"/>
        </w:rPr>
        <w:t>f</w:t>
      </w:r>
      <w:r w:rsidR="0004058C">
        <w:rPr>
          <w:rFonts w:ascii="Garamond" w:hAnsi="Garamond"/>
        </w:rPr>
        <w:t xml:space="preserve">uture-presents’ are </w:t>
      </w:r>
      <w:r w:rsidR="00100AB0">
        <w:rPr>
          <w:rFonts w:ascii="Garamond" w:hAnsi="Garamond"/>
        </w:rPr>
        <w:t>less</w:t>
      </w:r>
      <w:r w:rsidR="0004058C">
        <w:rPr>
          <w:rFonts w:ascii="Garamond" w:hAnsi="Garamond"/>
        </w:rPr>
        <w:t xml:space="preserve"> amenable to empirical investigation</w:t>
      </w:r>
      <w:r w:rsidR="009C71CC">
        <w:rPr>
          <w:rFonts w:ascii="Garamond" w:hAnsi="Garamond"/>
        </w:rPr>
        <w:t xml:space="preserve"> by conventional means</w:t>
      </w:r>
      <w:r w:rsidR="0004058C">
        <w:rPr>
          <w:rFonts w:ascii="Garamond" w:hAnsi="Garamond"/>
        </w:rPr>
        <w:t xml:space="preserve"> because they </w:t>
      </w:r>
      <w:r w:rsidR="00AA4402">
        <w:rPr>
          <w:rFonts w:ascii="Garamond" w:hAnsi="Garamond"/>
        </w:rPr>
        <w:t>occupy</w:t>
      </w:r>
      <w:r w:rsidR="001B3C47">
        <w:rPr>
          <w:rFonts w:ascii="Garamond" w:hAnsi="Garamond"/>
        </w:rPr>
        <w:t xml:space="preserve"> </w:t>
      </w:r>
      <w:r w:rsidR="004C3608">
        <w:rPr>
          <w:rFonts w:ascii="Garamond" w:hAnsi="Garamond"/>
        </w:rPr>
        <w:t>‘</w:t>
      </w:r>
      <w:r w:rsidR="001B3C47">
        <w:rPr>
          <w:rFonts w:ascii="Garamond" w:hAnsi="Garamond"/>
        </w:rPr>
        <w:t>the inaccessible, invisible, latent world of processes</w:t>
      </w:r>
      <w:r w:rsidR="004C3608">
        <w:rPr>
          <w:rFonts w:ascii="Garamond" w:hAnsi="Garamond"/>
        </w:rPr>
        <w:t>’</w:t>
      </w:r>
      <w:r w:rsidR="001B3C47">
        <w:rPr>
          <w:rFonts w:ascii="Garamond" w:hAnsi="Garamond"/>
        </w:rPr>
        <w:t>.</w:t>
      </w:r>
      <w:r w:rsidR="00AA4402">
        <w:rPr>
          <w:rStyle w:val="EndnoteReference"/>
          <w:rFonts w:ascii="Garamond" w:hAnsi="Garamond"/>
        </w:rPr>
        <w:endnoteReference w:id="42"/>
      </w:r>
      <w:r w:rsidR="00DD2838">
        <w:rPr>
          <w:rFonts w:ascii="Garamond" w:hAnsi="Garamond"/>
        </w:rPr>
        <w:t xml:space="preserve">  </w:t>
      </w:r>
      <w:r w:rsidR="007163E2">
        <w:rPr>
          <w:rFonts w:ascii="Garamond" w:hAnsi="Garamond"/>
        </w:rPr>
        <w:t xml:space="preserve">A futurescapes perspective </w:t>
      </w:r>
      <w:r w:rsidR="00946ADB">
        <w:rPr>
          <w:rFonts w:ascii="Garamond" w:hAnsi="Garamond"/>
        </w:rPr>
        <w:t>enables a</w:t>
      </w:r>
      <w:r w:rsidR="009375F1">
        <w:rPr>
          <w:rFonts w:ascii="Garamond" w:hAnsi="Garamond"/>
        </w:rPr>
        <w:t xml:space="preserve"> </w:t>
      </w:r>
      <w:r w:rsidR="00C87176">
        <w:rPr>
          <w:rFonts w:ascii="Garamond" w:hAnsi="Garamond"/>
        </w:rPr>
        <w:t>more nuanced</w:t>
      </w:r>
      <w:r w:rsidR="000E4F64">
        <w:rPr>
          <w:rFonts w:ascii="Garamond" w:hAnsi="Garamond"/>
        </w:rPr>
        <w:t xml:space="preserve"> account of</w:t>
      </w:r>
      <w:r w:rsidR="00BA1C38">
        <w:rPr>
          <w:rFonts w:ascii="Garamond" w:hAnsi="Garamond"/>
        </w:rPr>
        <w:t xml:space="preserve"> </w:t>
      </w:r>
      <w:r w:rsidR="00700571">
        <w:rPr>
          <w:rFonts w:ascii="Garamond" w:hAnsi="Garamond"/>
        </w:rPr>
        <w:t xml:space="preserve">the </w:t>
      </w:r>
      <w:r w:rsidR="00BA1C38">
        <w:rPr>
          <w:rFonts w:ascii="Garamond" w:hAnsi="Garamond"/>
        </w:rPr>
        <w:t>future</w:t>
      </w:r>
      <w:r w:rsidR="0046032D">
        <w:rPr>
          <w:rFonts w:ascii="Garamond" w:hAnsi="Garamond"/>
        </w:rPr>
        <w:t xml:space="preserve"> </w:t>
      </w:r>
      <w:r w:rsidR="00534120">
        <w:rPr>
          <w:rFonts w:ascii="Garamond" w:hAnsi="Garamond"/>
        </w:rPr>
        <w:t>as</w:t>
      </w:r>
      <w:r w:rsidR="00700571">
        <w:rPr>
          <w:rFonts w:ascii="Garamond" w:hAnsi="Garamond"/>
        </w:rPr>
        <w:t xml:space="preserve"> a</w:t>
      </w:r>
      <w:r w:rsidR="00534120">
        <w:rPr>
          <w:rFonts w:ascii="Garamond" w:hAnsi="Garamond"/>
        </w:rPr>
        <w:t xml:space="preserve"> </w:t>
      </w:r>
      <w:r w:rsidR="00D072BD">
        <w:rPr>
          <w:rFonts w:ascii="Garamond" w:hAnsi="Garamond"/>
        </w:rPr>
        <w:t>‘</w:t>
      </w:r>
      <w:r w:rsidR="00534120">
        <w:rPr>
          <w:rFonts w:ascii="Garamond" w:hAnsi="Garamond"/>
        </w:rPr>
        <w:t>precarious achievement</w:t>
      </w:r>
      <w:r w:rsidR="00D072BD">
        <w:rPr>
          <w:rFonts w:ascii="Garamond" w:hAnsi="Garamond"/>
        </w:rPr>
        <w:t>’</w:t>
      </w:r>
      <w:r w:rsidR="00457AFA">
        <w:rPr>
          <w:rStyle w:val="EndnoteReference"/>
          <w:rFonts w:ascii="Garamond" w:hAnsi="Garamond"/>
        </w:rPr>
        <w:endnoteReference w:id="43"/>
      </w:r>
      <w:r w:rsidR="00D072BD">
        <w:rPr>
          <w:rFonts w:ascii="Garamond" w:hAnsi="Garamond"/>
        </w:rPr>
        <w:t xml:space="preserve"> </w:t>
      </w:r>
      <w:r w:rsidR="009C4225">
        <w:rPr>
          <w:rFonts w:ascii="Garamond" w:hAnsi="Garamond"/>
        </w:rPr>
        <w:t xml:space="preserve">that </w:t>
      </w:r>
      <w:r w:rsidR="00700571">
        <w:rPr>
          <w:rFonts w:ascii="Garamond" w:hAnsi="Garamond"/>
        </w:rPr>
        <w:t>is</w:t>
      </w:r>
      <w:r w:rsidR="0046032D">
        <w:rPr>
          <w:rFonts w:ascii="Garamond" w:hAnsi="Garamond"/>
        </w:rPr>
        <w:t xml:space="preserve"> continually </w:t>
      </w:r>
      <w:r w:rsidR="00DD2838">
        <w:rPr>
          <w:rFonts w:ascii="Garamond" w:hAnsi="Garamond"/>
        </w:rPr>
        <w:t xml:space="preserve">being </w:t>
      </w:r>
      <w:r w:rsidR="001F2044">
        <w:rPr>
          <w:rFonts w:ascii="Garamond" w:hAnsi="Garamond"/>
        </w:rPr>
        <w:t>made</w:t>
      </w:r>
      <w:r w:rsidR="0046032D">
        <w:rPr>
          <w:rFonts w:ascii="Garamond" w:hAnsi="Garamond"/>
        </w:rPr>
        <w:t xml:space="preserve"> in everyday practices</w:t>
      </w:r>
      <w:r w:rsidR="009C4225">
        <w:rPr>
          <w:rFonts w:ascii="Garamond" w:hAnsi="Garamond"/>
        </w:rPr>
        <w:t>, not only</w:t>
      </w:r>
      <w:r w:rsidR="0046032D">
        <w:rPr>
          <w:rFonts w:ascii="Garamond" w:hAnsi="Garamond"/>
        </w:rPr>
        <w:t xml:space="preserve"> </w:t>
      </w:r>
      <w:r w:rsidR="009C4225">
        <w:rPr>
          <w:rFonts w:ascii="Garamond" w:hAnsi="Garamond"/>
        </w:rPr>
        <w:t>through individual acts of projection but also</w:t>
      </w:r>
      <w:r w:rsidR="008474EC">
        <w:rPr>
          <w:rFonts w:ascii="Garamond" w:hAnsi="Garamond"/>
        </w:rPr>
        <w:t xml:space="preserve"> through </w:t>
      </w:r>
      <w:r w:rsidR="00AF5116">
        <w:rPr>
          <w:rFonts w:ascii="Garamond" w:hAnsi="Garamond"/>
        </w:rPr>
        <w:t>iterative</w:t>
      </w:r>
      <w:r w:rsidR="00700571">
        <w:rPr>
          <w:rFonts w:ascii="Garamond" w:hAnsi="Garamond"/>
        </w:rPr>
        <w:t>, emergent</w:t>
      </w:r>
      <w:r w:rsidR="008474EC">
        <w:rPr>
          <w:rFonts w:ascii="Garamond" w:hAnsi="Garamond"/>
        </w:rPr>
        <w:t xml:space="preserve"> </w:t>
      </w:r>
      <w:r w:rsidR="004C6147">
        <w:rPr>
          <w:rFonts w:ascii="Garamond" w:hAnsi="Garamond"/>
        </w:rPr>
        <w:t>processes</w:t>
      </w:r>
      <w:r w:rsidR="00AF5116">
        <w:rPr>
          <w:rFonts w:ascii="Garamond" w:hAnsi="Garamond"/>
        </w:rPr>
        <w:t xml:space="preserve"> </w:t>
      </w:r>
      <w:r w:rsidR="008474EC">
        <w:rPr>
          <w:rFonts w:ascii="Garamond" w:hAnsi="Garamond"/>
        </w:rPr>
        <w:t>that</w:t>
      </w:r>
      <w:r w:rsidR="00700571">
        <w:rPr>
          <w:rFonts w:ascii="Garamond" w:hAnsi="Garamond"/>
        </w:rPr>
        <w:t xml:space="preserve"> remain ‘</w:t>
      </w:r>
      <w:r w:rsidR="008474EC">
        <w:rPr>
          <w:rFonts w:ascii="Garamond" w:hAnsi="Garamond"/>
        </w:rPr>
        <w:t>imperceptible as events</w:t>
      </w:r>
      <w:r w:rsidR="00700571">
        <w:rPr>
          <w:rFonts w:ascii="Garamond" w:hAnsi="Garamond"/>
        </w:rPr>
        <w:t>’</w:t>
      </w:r>
      <w:r w:rsidR="00700571">
        <w:rPr>
          <w:rStyle w:val="EndnoteReference"/>
          <w:rFonts w:ascii="Garamond" w:hAnsi="Garamond"/>
        </w:rPr>
        <w:endnoteReference w:id="44"/>
      </w:r>
      <w:r w:rsidR="008474EC">
        <w:rPr>
          <w:rFonts w:ascii="Garamond" w:hAnsi="Garamond"/>
        </w:rPr>
        <w:t xml:space="preserve"> but nonetheless have future-making effects</w:t>
      </w:r>
      <w:r w:rsidR="00A47984">
        <w:rPr>
          <w:rFonts w:ascii="Garamond" w:hAnsi="Garamond"/>
        </w:rPr>
        <w:t>.</w:t>
      </w:r>
      <w:r w:rsidR="00D96A4B">
        <w:rPr>
          <w:rFonts w:ascii="Garamond" w:hAnsi="Garamond"/>
        </w:rPr>
        <w:t xml:space="preserve">  </w:t>
      </w:r>
      <w:r w:rsidR="00677B9C">
        <w:rPr>
          <w:rFonts w:ascii="Garamond" w:hAnsi="Garamond"/>
        </w:rPr>
        <w:t>Significantly</w:t>
      </w:r>
      <w:r w:rsidR="00535FEF">
        <w:rPr>
          <w:rFonts w:ascii="Garamond" w:hAnsi="Garamond"/>
        </w:rPr>
        <w:t xml:space="preserve">, </w:t>
      </w:r>
      <w:r w:rsidR="00D96A4B">
        <w:rPr>
          <w:rFonts w:ascii="Garamond" w:hAnsi="Garamond"/>
        </w:rPr>
        <w:t>because the</w:t>
      </w:r>
      <w:r w:rsidR="002103E4">
        <w:rPr>
          <w:rFonts w:ascii="Garamond" w:hAnsi="Garamond"/>
        </w:rPr>
        <w:t xml:space="preserve"> approach </w:t>
      </w:r>
      <w:r w:rsidR="00D96A4B">
        <w:rPr>
          <w:rFonts w:ascii="Garamond" w:hAnsi="Garamond"/>
        </w:rPr>
        <w:t>attends to</w:t>
      </w:r>
      <w:r w:rsidR="002103E4">
        <w:rPr>
          <w:rFonts w:ascii="Garamond" w:hAnsi="Garamond"/>
        </w:rPr>
        <w:t xml:space="preserve"> </w:t>
      </w:r>
      <w:r w:rsidR="002103E4" w:rsidRPr="002103E4">
        <w:rPr>
          <w:rFonts w:ascii="Garamond" w:hAnsi="Garamond"/>
          <w:i/>
          <w:iCs/>
        </w:rPr>
        <w:t>how</w:t>
      </w:r>
      <w:r w:rsidR="002103E4">
        <w:rPr>
          <w:rFonts w:ascii="Garamond" w:hAnsi="Garamond"/>
        </w:rPr>
        <w:t xml:space="preserve"> future</w:t>
      </w:r>
      <w:r w:rsidR="006926C0">
        <w:rPr>
          <w:rFonts w:ascii="Garamond" w:hAnsi="Garamond"/>
        </w:rPr>
        <w:t>s</w:t>
      </w:r>
      <w:r w:rsidR="002103E4">
        <w:rPr>
          <w:rFonts w:ascii="Garamond" w:hAnsi="Garamond"/>
        </w:rPr>
        <w:t xml:space="preserve"> and </w:t>
      </w:r>
      <w:r w:rsidR="006926C0">
        <w:rPr>
          <w:rFonts w:ascii="Garamond" w:hAnsi="Garamond"/>
        </w:rPr>
        <w:t>th</w:t>
      </w:r>
      <w:r w:rsidR="00150AF0">
        <w:rPr>
          <w:rFonts w:ascii="Garamond" w:hAnsi="Garamond"/>
        </w:rPr>
        <w:t>e</w:t>
      </w:r>
      <w:r w:rsidR="006926C0">
        <w:rPr>
          <w:rFonts w:ascii="Garamond" w:hAnsi="Garamond"/>
        </w:rPr>
        <w:t>ir</w:t>
      </w:r>
      <w:r w:rsidR="002103E4">
        <w:rPr>
          <w:rFonts w:ascii="Garamond" w:hAnsi="Garamond"/>
        </w:rPr>
        <w:t xml:space="preserve"> </w:t>
      </w:r>
      <w:r w:rsidR="00057F04">
        <w:rPr>
          <w:rFonts w:ascii="Garamond" w:hAnsi="Garamond"/>
        </w:rPr>
        <w:t>socio-political</w:t>
      </w:r>
      <w:r w:rsidR="00125893">
        <w:rPr>
          <w:rFonts w:ascii="Garamond" w:hAnsi="Garamond"/>
        </w:rPr>
        <w:t xml:space="preserve"> effects </w:t>
      </w:r>
      <w:r w:rsidR="002103E4">
        <w:rPr>
          <w:rFonts w:ascii="Garamond" w:hAnsi="Garamond"/>
        </w:rPr>
        <w:t xml:space="preserve">are achieved </w:t>
      </w:r>
      <w:r w:rsidR="00D96A4B">
        <w:rPr>
          <w:rFonts w:ascii="Garamond" w:hAnsi="Garamond"/>
        </w:rPr>
        <w:t>(</w:t>
      </w:r>
      <w:r w:rsidR="002103E4">
        <w:rPr>
          <w:rFonts w:ascii="Garamond" w:hAnsi="Garamond"/>
        </w:rPr>
        <w:t xml:space="preserve">rather than assuming their </w:t>
      </w:r>
      <w:r w:rsidR="00125893">
        <w:rPr>
          <w:rFonts w:ascii="Garamond" w:hAnsi="Garamond"/>
        </w:rPr>
        <w:t>coherence</w:t>
      </w:r>
      <w:r w:rsidR="002103E4">
        <w:rPr>
          <w:rFonts w:ascii="Garamond" w:hAnsi="Garamond"/>
        </w:rPr>
        <w:t xml:space="preserve"> or stability</w:t>
      </w:r>
      <w:r w:rsidR="00D96A4B">
        <w:rPr>
          <w:rFonts w:ascii="Garamond" w:hAnsi="Garamond"/>
        </w:rPr>
        <w:t xml:space="preserve">), </w:t>
      </w:r>
      <w:r w:rsidR="00A10F4C">
        <w:rPr>
          <w:rFonts w:ascii="Garamond" w:hAnsi="Garamond"/>
        </w:rPr>
        <w:t>it</w:t>
      </w:r>
      <w:r w:rsidR="00E8524E">
        <w:rPr>
          <w:rFonts w:ascii="Garamond" w:hAnsi="Garamond"/>
        </w:rPr>
        <w:t xml:space="preserve"> is open to diverse and often contradictory possibilities.</w:t>
      </w:r>
      <w:r w:rsidR="008000F0">
        <w:rPr>
          <w:rFonts w:ascii="Garamond" w:hAnsi="Garamond"/>
        </w:rPr>
        <w:t xml:space="preserve">  </w:t>
      </w:r>
      <w:r w:rsidR="00125893">
        <w:rPr>
          <w:rFonts w:ascii="Garamond" w:hAnsi="Garamond"/>
        </w:rPr>
        <w:t>Th</w:t>
      </w:r>
      <w:r w:rsidR="008810F4">
        <w:rPr>
          <w:rFonts w:ascii="Garamond" w:hAnsi="Garamond"/>
        </w:rPr>
        <w:t>us the</w:t>
      </w:r>
      <w:r w:rsidR="00125893">
        <w:rPr>
          <w:rFonts w:ascii="Garamond" w:hAnsi="Garamond"/>
        </w:rPr>
        <w:t xml:space="preserve"> </w:t>
      </w:r>
      <w:r w:rsidR="00CA5871">
        <w:rPr>
          <w:rFonts w:ascii="Garamond" w:hAnsi="Garamond"/>
        </w:rPr>
        <w:t xml:space="preserve">futurescape </w:t>
      </w:r>
      <w:r w:rsidR="00277F97">
        <w:rPr>
          <w:rFonts w:ascii="Garamond" w:hAnsi="Garamond"/>
        </w:rPr>
        <w:t>is not simply</w:t>
      </w:r>
      <w:r w:rsidR="00CA5871">
        <w:rPr>
          <w:rFonts w:ascii="Garamond" w:hAnsi="Garamond"/>
        </w:rPr>
        <w:t xml:space="preserve"> </w:t>
      </w:r>
      <w:r w:rsidR="00277F97">
        <w:rPr>
          <w:rFonts w:ascii="Garamond" w:hAnsi="Garamond"/>
        </w:rPr>
        <w:t>a list</w:t>
      </w:r>
      <w:r w:rsidR="00125893">
        <w:rPr>
          <w:rFonts w:ascii="Garamond" w:hAnsi="Garamond"/>
        </w:rPr>
        <w:t xml:space="preserve"> of temporal features</w:t>
      </w:r>
      <w:r w:rsidR="008000F0">
        <w:rPr>
          <w:rFonts w:ascii="Garamond" w:hAnsi="Garamond"/>
        </w:rPr>
        <w:t xml:space="preserve"> to be ticked off one-by-one.  Instead, it </w:t>
      </w:r>
      <w:r w:rsidR="00677B9C">
        <w:rPr>
          <w:rFonts w:ascii="Garamond" w:hAnsi="Garamond"/>
        </w:rPr>
        <w:t>describes</w:t>
      </w:r>
      <w:r w:rsidR="008000F0">
        <w:rPr>
          <w:rFonts w:ascii="Garamond" w:hAnsi="Garamond"/>
        </w:rPr>
        <w:t xml:space="preserve"> a </w:t>
      </w:r>
      <w:r w:rsidR="00677B9C">
        <w:rPr>
          <w:rFonts w:ascii="Garamond" w:hAnsi="Garamond"/>
        </w:rPr>
        <w:t xml:space="preserve">critical </w:t>
      </w:r>
      <w:r w:rsidR="008000F0">
        <w:rPr>
          <w:rFonts w:ascii="Garamond" w:hAnsi="Garamond"/>
        </w:rPr>
        <w:t>sensibility</w:t>
      </w:r>
      <w:r w:rsidR="00677B9C">
        <w:rPr>
          <w:rFonts w:ascii="Garamond" w:hAnsi="Garamond"/>
        </w:rPr>
        <w:t xml:space="preserve"> that</w:t>
      </w:r>
      <w:r w:rsidR="006770E6">
        <w:rPr>
          <w:rFonts w:ascii="Garamond" w:hAnsi="Garamond"/>
        </w:rPr>
        <w:t xml:space="preserve"> </w:t>
      </w:r>
      <w:r w:rsidR="00677B9C">
        <w:rPr>
          <w:rFonts w:ascii="Garamond" w:hAnsi="Garamond"/>
        </w:rPr>
        <w:t xml:space="preserve">invites us to </w:t>
      </w:r>
      <w:r w:rsidR="00B637EF">
        <w:rPr>
          <w:rFonts w:ascii="Garamond" w:hAnsi="Garamond"/>
        </w:rPr>
        <w:t>question</w:t>
      </w:r>
      <w:r w:rsidR="00677B9C">
        <w:rPr>
          <w:rFonts w:ascii="Garamond" w:hAnsi="Garamond"/>
        </w:rPr>
        <w:t xml:space="preserve"> </w:t>
      </w:r>
      <w:r w:rsidR="004222F5">
        <w:rPr>
          <w:rFonts w:ascii="Garamond" w:hAnsi="Garamond"/>
        </w:rPr>
        <w:t xml:space="preserve">how the future animates </w:t>
      </w:r>
      <w:r w:rsidR="00EB2516">
        <w:rPr>
          <w:rFonts w:ascii="Garamond" w:hAnsi="Garamond"/>
        </w:rPr>
        <w:t>the contemporary condition</w:t>
      </w:r>
      <w:r w:rsidR="004222F5">
        <w:rPr>
          <w:rFonts w:ascii="Garamond" w:hAnsi="Garamond"/>
        </w:rPr>
        <w:t xml:space="preserve"> </w:t>
      </w:r>
      <w:r w:rsidR="006770E6">
        <w:rPr>
          <w:rFonts w:ascii="Garamond" w:hAnsi="Garamond"/>
        </w:rPr>
        <w:t xml:space="preserve">without reducing away </w:t>
      </w:r>
      <w:r w:rsidR="004222F5">
        <w:rPr>
          <w:rFonts w:ascii="Garamond" w:hAnsi="Garamond"/>
        </w:rPr>
        <w:t xml:space="preserve">its </w:t>
      </w:r>
      <w:r w:rsidR="006770E6">
        <w:rPr>
          <w:rFonts w:ascii="Garamond" w:hAnsi="Garamond"/>
        </w:rPr>
        <w:t>more elusive qualities</w:t>
      </w:r>
      <w:r w:rsidR="00EB2516">
        <w:rPr>
          <w:rFonts w:ascii="Garamond" w:hAnsi="Garamond"/>
        </w:rPr>
        <w:t xml:space="preserve">.  For example, the future may be encountered as a particular </w:t>
      </w:r>
      <w:r w:rsidR="004222F5">
        <w:rPr>
          <w:rFonts w:ascii="Garamond" w:hAnsi="Garamond"/>
        </w:rPr>
        <w:t>mood, feeling</w:t>
      </w:r>
      <w:r w:rsidR="00EB2516">
        <w:rPr>
          <w:rFonts w:ascii="Garamond" w:hAnsi="Garamond"/>
        </w:rPr>
        <w:t>,</w:t>
      </w:r>
      <w:r w:rsidR="004222F5">
        <w:rPr>
          <w:rFonts w:ascii="Garamond" w:hAnsi="Garamond"/>
        </w:rPr>
        <w:t xml:space="preserve"> ambience </w:t>
      </w:r>
      <w:r w:rsidR="00EB2516">
        <w:rPr>
          <w:rFonts w:ascii="Garamond" w:hAnsi="Garamond"/>
        </w:rPr>
        <w:t>or</w:t>
      </w:r>
      <w:r w:rsidR="004222F5">
        <w:rPr>
          <w:rFonts w:ascii="Garamond" w:hAnsi="Garamond"/>
        </w:rPr>
        <w:t xml:space="preserve"> other collective affect that press</w:t>
      </w:r>
      <w:r w:rsidR="00EB2516">
        <w:rPr>
          <w:rFonts w:ascii="Garamond" w:hAnsi="Garamond"/>
        </w:rPr>
        <w:t>es</w:t>
      </w:r>
      <w:r w:rsidR="004222F5">
        <w:rPr>
          <w:rFonts w:ascii="Garamond" w:hAnsi="Garamond"/>
        </w:rPr>
        <w:t xml:space="preserve"> upon the present.</w:t>
      </w:r>
      <w:r w:rsidR="00A55588">
        <w:rPr>
          <w:rFonts w:ascii="Garamond" w:hAnsi="Garamond"/>
        </w:rPr>
        <w:t xml:space="preserve">  </w:t>
      </w:r>
      <w:r w:rsidR="00B637EF">
        <w:rPr>
          <w:rFonts w:ascii="Garamond" w:hAnsi="Garamond"/>
        </w:rPr>
        <w:t>Hence</w:t>
      </w:r>
      <w:r w:rsidR="00A55588">
        <w:rPr>
          <w:rFonts w:ascii="Garamond" w:hAnsi="Garamond"/>
        </w:rPr>
        <w:t xml:space="preserve"> </w:t>
      </w:r>
      <w:r w:rsidR="00DC7951">
        <w:rPr>
          <w:rFonts w:ascii="Garamond" w:hAnsi="Garamond"/>
        </w:rPr>
        <w:t xml:space="preserve">the </w:t>
      </w:r>
      <w:r w:rsidR="00056E7D">
        <w:rPr>
          <w:rFonts w:ascii="Garamond" w:hAnsi="Garamond"/>
        </w:rPr>
        <w:t xml:space="preserve">terms </w:t>
      </w:r>
      <w:r w:rsidR="00A55588">
        <w:rPr>
          <w:rFonts w:ascii="Garamond" w:hAnsi="Garamond"/>
        </w:rPr>
        <w:t>f</w:t>
      </w:r>
      <w:r w:rsidR="00677B9C">
        <w:rPr>
          <w:rFonts w:ascii="Garamond" w:hAnsi="Garamond"/>
        </w:rPr>
        <w:t xml:space="preserve">uturescape and futurity are </w:t>
      </w:r>
      <w:r w:rsidR="00B41E8E">
        <w:rPr>
          <w:rFonts w:ascii="Garamond" w:hAnsi="Garamond"/>
        </w:rPr>
        <w:t>used</w:t>
      </w:r>
      <w:r w:rsidR="00677B9C">
        <w:rPr>
          <w:rFonts w:ascii="Garamond" w:hAnsi="Garamond"/>
        </w:rPr>
        <w:t xml:space="preserve"> not as </w:t>
      </w:r>
      <w:r w:rsidR="00974931">
        <w:rPr>
          <w:rFonts w:ascii="Garamond" w:hAnsi="Garamond"/>
        </w:rPr>
        <w:t>academic-speak for</w:t>
      </w:r>
      <w:r w:rsidR="00677B9C">
        <w:rPr>
          <w:rFonts w:ascii="Garamond" w:hAnsi="Garamond"/>
        </w:rPr>
        <w:t xml:space="preserve"> </w:t>
      </w:r>
      <w:r w:rsidR="00974931">
        <w:rPr>
          <w:rFonts w:ascii="Garamond" w:hAnsi="Garamond"/>
        </w:rPr>
        <w:t>‘</w:t>
      </w:r>
      <w:r w:rsidR="00677B9C">
        <w:rPr>
          <w:rFonts w:ascii="Garamond" w:hAnsi="Garamond"/>
        </w:rPr>
        <w:t>the future</w:t>
      </w:r>
      <w:r w:rsidR="00974931">
        <w:rPr>
          <w:rFonts w:ascii="Garamond" w:hAnsi="Garamond"/>
        </w:rPr>
        <w:t>’</w:t>
      </w:r>
      <w:r w:rsidR="00677B9C">
        <w:rPr>
          <w:rFonts w:ascii="Garamond" w:hAnsi="Garamond"/>
        </w:rPr>
        <w:t xml:space="preserve"> but </w:t>
      </w:r>
      <w:r w:rsidR="00974931">
        <w:rPr>
          <w:rFonts w:ascii="Garamond" w:hAnsi="Garamond"/>
        </w:rPr>
        <w:t>to signify</w:t>
      </w:r>
      <w:r w:rsidR="00677B9C">
        <w:rPr>
          <w:rFonts w:ascii="Garamond" w:hAnsi="Garamond"/>
        </w:rPr>
        <w:t xml:space="preserve"> the</w:t>
      </w:r>
      <w:r w:rsidR="00724868">
        <w:rPr>
          <w:rFonts w:ascii="Garamond" w:hAnsi="Garamond"/>
        </w:rPr>
        <w:t xml:space="preserve"> </w:t>
      </w:r>
      <w:r w:rsidR="004169BC">
        <w:rPr>
          <w:rFonts w:ascii="Garamond" w:hAnsi="Garamond"/>
        </w:rPr>
        <w:t>actual diversity and messiness of</w:t>
      </w:r>
      <w:r w:rsidR="005A5932">
        <w:rPr>
          <w:rFonts w:ascii="Garamond" w:hAnsi="Garamond"/>
        </w:rPr>
        <w:t xml:space="preserve"> </w:t>
      </w:r>
      <w:r w:rsidR="006314BB">
        <w:rPr>
          <w:rFonts w:ascii="Garamond" w:hAnsi="Garamond"/>
        </w:rPr>
        <w:t xml:space="preserve">temporal features </w:t>
      </w:r>
      <w:r w:rsidR="005A5932">
        <w:rPr>
          <w:rFonts w:ascii="Garamond" w:hAnsi="Garamond"/>
        </w:rPr>
        <w:t xml:space="preserve">that </w:t>
      </w:r>
      <w:r w:rsidR="006314BB">
        <w:rPr>
          <w:rFonts w:ascii="Garamond" w:hAnsi="Garamond"/>
        </w:rPr>
        <w:t>are</w:t>
      </w:r>
      <w:r w:rsidR="005A5932">
        <w:rPr>
          <w:rFonts w:ascii="Garamond" w:hAnsi="Garamond"/>
        </w:rPr>
        <w:t xml:space="preserve"> </w:t>
      </w:r>
      <w:r w:rsidR="005A6541">
        <w:rPr>
          <w:rFonts w:ascii="Garamond" w:hAnsi="Garamond"/>
        </w:rPr>
        <w:t>often assumed to be</w:t>
      </w:r>
      <w:r w:rsidR="006314BB">
        <w:rPr>
          <w:rFonts w:ascii="Garamond" w:hAnsi="Garamond"/>
        </w:rPr>
        <w:t xml:space="preserve"> </w:t>
      </w:r>
      <w:r w:rsidR="006926C0">
        <w:rPr>
          <w:rFonts w:ascii="Garamond" w:hAnsi="Garamond"/>
        </w:rPr>
        <w:t>straightforwardly</w:t>
      </w:r>
      <w:r w:rsidR="005A6541">
        <w:rPr>
          <w:rFonts w:ascii="Garamond" w:hAnsi="Garamond"/>
        </w:rPr>
        <w:t xml:space="preserve"> accounted for</w:t>
      </w:r>
      <w:r w:rsidR="005D00CE">
        <w:rPr>
          <w:rFonts w:ascii="Garamond" w:hAnsi="Garamond"/>
        </w:rPr>
        <w:t>.</w:t>
      </w:r>
      <w:r w:rsidR="00974931">
        <w:rPr>
          <w:rStyle w:val="EndnoteReference"/>
          <w:rFonts w:ascii="Garamond" w:hAnsi="Garamond"/>
        </w:rPr>
        <w:endnoteReference w:id="45"/>
      </w:r>
    </w:p>
    <w:p w14:paraId="54D3B7F5" w14:textId="77777777" w:rsidR="00677B9C" w:rsidRDefault="00677B9C" w:rsidP="00E72458">
      <w:pPr>
        <w:spacing w:line="360" w:lineRule="auto"/>
        <w:rPr>
          <w:rFonts w:ascii="Garamond" w:hAnsi="Garamond"/>
        </w:rPr>
      </w:pPr>
    </w:p>
    <w:p w14:paraId="1719B655" w14:textId="2EDE2776" w:rsidR="00CC4EE7" w:rsidRDefault="00B41E8E" w:rsidP="00E72458">
      <w:pPr>
        <w:spacing w:line="360" w:lineRule="auto"/>
        <w:rPr>
          <w:rFonts w:ascii="Garamond" w:hAnsi="Garamond"/>
        </w:rPr>
      </w:pPr>
      <w:r>
        <w:rPr>
          <w:rFonts w:ascii="Garamond" w:hAnsi="Garamond"/>
        </w:rPr>
        <w:lastRenderedPageBreak/>
        <w:t>F</w:t>
      </w:r>
      <w:r w:rsidR="002E09AC">
        <w:rPr>
          <w:rFonts w:ascii="Garamond" w:hAnsi="Garamond"/>
        </w:rPr>
        <w:t>uturescape</w:t>
      </w:r>
      <w:r>
        <w:rPr>
          <w:rFonts w:ascii="Garamond" w:hAnsi="Garamond"/>
        </w:rPr>
        <w:t>s</w:t>
      </w:r>
      <w:r w:rsidR="004B6536">
        <w:rPr>
          <w:rFonts w:ascii="Garamond" w:hAnsi="Garamond"/>
        </w:rPr>
        <w:t xml:space="preserve"> and </w:t>
      </w:r>
      <w:r w:rsidR="00F339E6">
        <w:rPr>
          <w:rFonts w:ascii="Garamond" w:hAnsi="Garamond"/>
        </w:rPr>
        <w:t xml:space="preserve">other </w:t>
      </w:r>
      <w:r w:rsidR="004B6536">
        <w:rPr>
          <w:rFonts w:ascii="Garamond" w:hAnsi="Garamond"/>
        </w:rPr>
        <w:t xml:space="preserve">integrative approaches like it </w:t>
      </w:r>
      <w:r>
        <w:rPr>
          <w:rFonts w:ascii="Garamond" w:hAnsi="Garamond"/>
        </w:rPr>
        <w:t xml:space="preserve">have been </w:t>
      </w:r>
      <w:r w:rsidR="006B648E">
        <w:rPr>
          <w:rFonts w:ascii="Garamond" w:hAnsi="Garamond"/>
        </w:rPr>
        <w:t>influential</w:t>
      </w:r>
      <w:r>
        <w:rPr>
          <w:rFonts w:ascii="Garamond" w:hAnsi="Garamond"/>
        </w:rPr>
        <w:t xml:space="preserve"> beyond their disciplinary origins</w:t>
      </w:r>
      <w:r w:rsidR="00F339E6">
        <w:rPr>
          <w:rFonts w:ascii="Garamond" w:hAnsi="Garamond"/>
        </w:rPr>
        <w:t>,</w:t>
      </w:r>
      <w:r>
        <w:rPr>
          <w:rStyle w:val="EndnoteReference"/>
          <w:rFonts w:ascii="Garamond" w:hAnsi="Garamond"/>
        </w:rPr>
        <w:endnoteReference w:id="46"/>
      </w:r>
      <w:r w:rsidR="00650362">
        <w:rPr>
          <w:rFonts w:ascii="Garamond" w:hAnsi="Garamond"/>
        </w:rPr>
        <w:t xml:space="preserve"> but </w:t>
      </w:r>
      <w:r w:rsidR="00F339E6">
        <w:rPr>
          <w:rFonts w:ascii="Garamond" w:hAnsi="Garamond"/>
        </w:rPr>
        <w:t xml:space="preserve">they </w:t>
      </w:r>
      <w:r w:rsidR="00650362">
        <w:rPr>
          <w:rFonts w:ascii="Garamond" w:hAnsi="Garamond"/>
        </w:rPr>
        <w:t>have yet to find</w:t>
      </w:r>
      <w:r w:rsidR="00F339E6">
        <w:rPr>
          <w:rFonts w:ascii="Garamond" w:hAnsi="Garamond"/>
        </w:rPr>
        <w:t xml:space="preserve"> their way into the bulk of legal research.</w:t>
      </w:r>
      <w:r w:rsidR="006A2E32">
        <w:rPr>
          <w:rStyle w:val="EndnoteReference"/>
          <w:rFonts w:ascii="Garamond" w:hAnsi="Garamond"/>
        </w:rPr>
        <w:endnoteReference w:id="47"/>
      </w:r>
      <w:r w:rsidR="00F339E6">
        <w:rPr>
          <w:rFonts w:ascii="Garamond" w:hAnsi="Garamond"/>
        </w:rPr>
        <w:t xml:space="preserve">  Here, I want to suggest planning law as one possible entry point</w:t>
      </w:r>
      <w:r w:rsidR="006B648E">
        <w:rPr>
          <w:rFonts w:ascii="Garamond" w:hAnsi="Garamond"/>
        </w:rPr>
        <w:t xml:space="preserve">.  </w:t>
      </w:r>
      <w:r w:rsidR="00234931">
        <w:rPr>
          <w:rFonts w:ascii="Garamond" w:hAnsi="Garamond"/>
        </w:rPr>
        <w:t>There</w:t>
      </w:r>
      <w:r w:rsidR="006B648E">
        <w:rPr>
          <w:rFonts w:ascii="Garamond" w:hAnsi="Garamond"/>
        </w:rPr>
        <w:t xml:space="preserve"> are already examples of critical engagement with futures in planning </w:t>
      </w:r>
      <w:r w:rsidR="006B648E" w:rsidRPr="00F27BAD">
        <w:rPr>
          <w:rFonts w:ascii="Garamond" w:hAnsi="Garamond"/>
        </w:rPr>
        <w:t>theory</w:t>
      </w:r>
      <w:r w:rsidR="00F27BAD" w:rsidRPr="00F27BAD">
        <w:rPr>
          <w:rFonts w:ascii="Garamond" w:hAnsi="Garamond"/>
        </w:rPr>
        <w:t>.</w:t>
      </w:r>
      <w:r w:rsidR="00F27BAD" w:rsidRPr="00F27BAD">
        <w:rPr>
          <w:rStyle w:val="EndnoteReference"/>
          <w:rFonts w:ascii="Garamond" w:hAnsi="Garamond"/>
        </w:rPr>
        <w:endnoteReference w:id="48"/>
      </w:r>
      <w:r w:rsidR="00F27BAD">
        <w:rPr>
          <w:rFonts w:ascii="Garamond" w:hAnsi="Garamond"/>
        </w:rPr>
        <w:t xml:space="preserve">  </w:t>
      </w:r>
      <w:r w:rsidR="0028388E" w:rsidRPr="00F27BAD">
        <w:rPr>
          <w:rFonts w:ascii="Garamond" w:hAnsi="Garamond"/>
        </w:rPr>
        <w:t>A</w:t>
      </w:r>
      <w:r w:rsidR="00234931">
        <w:rPr>
          <w:rFonts w:ascii="Garamond" w:hAnsi="Garamond"/>
        </w:rPr>
        <w:t xml:space="preserve"> logical next step is to ensure that </w:t>
      </w:r>
      <w:r w:rsidR="006926C0">
        <w:rPr>
          <w:rFonts w:ascii="Garamond" w:hAnsi="Garamond"/>
        </w:rPr>
        <w:t>planning rules and regulations</w:t>
      </w:r>
      <w:r w:rsidR="003436EE">
        <w:rPr>
          <w:rFonts w:ascii="Garamond" w:hAnsi="Garamond"/>
        </w:rPr>
        <w:t xml:space="preserve"> </w:t>
      </w:r>
      <w:r w:rsidR="0028388E">
        <w:rPr>
          <w:rFonts w:ascii="Garamond" w:hAnsi="Garamond"/>
        </w:rPr>
        <w:t>figure more prominently in</w:t>
      </w:r>
      <w:r w:rsidR="00234931">
        <w:rPr>
          <w:rFonts w:ascii="Garamond" w:hAnsi="Garamond"/>
        </w:rPr>
        <w:t xml:space="preserve"> </w:t>
      </w:r>
      <w:r w:rsidR="003436EE">
        <w:rPr>
          <w:rFonts w:ascii="Garamond" w:hAnsi="Garamond"/>
        </w:rPr>
        <w:t xml:space="preserve">those debates </w:t>
      </w:r>
      <w:r w:rsidR="0028388E">
        <w:rPr>
          <w:rFonts w:ascii="Garamond" w:hAnsi="Garamond"/>
        </w:rPr>
        <w:t>to avoid the law being treated as an</w:t>
      </w:r>
      <w:r w:rsidR="00234931">
        <w:rPr>
          <w:rFonts w:ascii="Garamond" w:hAnsi="Garamond"/>
        </w:rPr>
        <w:t xml:space="preserve"> </w:t>
      </w:r>
      <w:r w:rsidR="003436EE">
        <w:rPr>
          <w:rFonts w:ascii="Garamond" w:hAnsi="Garamond"/>
        </w:rPr>
        <w:t xml:space="preserve">incidental </w:t>
      </w:r>
      <w:r w:rsidR="00E02326">
        <w:rPr>
          <w:rFonts w:ascii="Garamond" w:hAnsi="Garamond"/>
        </w:rPr>
        <w:t>issue</w:t>
      </w:r>
      <w:r w:rsidR="003436EE">
        <w:rPr>
          <w:rFonts w:ascii="Garamond" w:hAnsi="Garamond"/>
        </w:rPr>
        <w:t xml:space="preserve"> or afterthought.</w:t>
      </w:r>
      <w:r w:rsidR="004264C2">
        <w:rPr>
          <w:rFonts w:ascii="Garamond" w:hAnsi="Garamond"/>
        </w:rPr>
        <w:t xml:space="preserve">  </w:t>
      </w:r>
    </w:p>
    <w:p w14:paraId="23971E72" w14:textId="77777777" w:rsidR="00CC4EE7" w:rsidRDefault="00CC4EE7" w:rsidP="00E72458">
      <w:pPr>
        <w:spacing w:line="360" w:lineRule="auto"/>
        <w:rPr>
          <w:rFonts w:ascii="Garamond" w:hAnsi="Garamond"/>
        </w:rPr>
      </w:pPr>
    </w:p>
    <w:p w14:paraId="5475756A" w14:textId="34972C1D" w:rsidR="0023796E" w:rsidRPr="002C1D51" w:rsidRDefault="00026806" w:rsidP="00E72458">
      <w:pPr>
        <w:spacing w:line="360" w:lineRule="auto"/>
        <w:rPr>
          <w:rFonts w:ascii="Garamond" w:hAnsi="Garamond"/>
        </w:rPr>
      </w:pPr>
      <w:r>
        <w:rPr>
          <w:rFonts w:ascii="Garamond" w:hAnsi="Garamond"/>
        </w:rPr>
        <w:t xml:space="preserve">It is not a new </w:t>
      </w:r>
      <w:r w:rsidR="000108AB">
        <w:rPr>
          <w:rFonts w:ascii="Garamond" w:hAnsi="Garamond"/>
        </w:rPr>
        <w:t>problem</w:t>
      </w:r>
      <w:r>
        <w:rPr>
          <w:rFonts w:ascii="Garamond" w:hAnsi="Garamond"/>
        </w:rPr>
        <w:t xml:space="preserve"> that legal analysis </w:t>
      </w:r>
      <w:r w:rsidR="00524E14">
        <w:rPr>
          <w:rFonts w:ascii="Garamond" w:hAnsi="Garamond"/>
        </w:rPr>
        <w:t xml:space="preserve">can be </w:t>
      </w:r>
      <w:r w:rsidR="000108AB">
        <w:rPr>
          <w:rFonts w:ascii="Garamond" w:hAnsi="Garamond"/>
        </w:rPr>
        <w:t xml:space="preserve">weakly represented in or </w:t>
      </w:r>
      <w:r>
        <w:rPr>
          <w:rFonts w:ascii="Garamond" w:hAnsi="Garamond"/>
        </w:rPr>
        <w:t>missing</w:t>
      </w:r>
      <w:r w:rsidR="000108AB">
        <w:rPr>
          <w:rFonts w:ascii="Garamond" w:hAnsi="Garamond"/>
        </w:rPr>
        <w:t xml:space="preserve"> altogether</w:t>
      </w:r>
      <w:r>
        <w:rPr>
          <w:rFonts w:ascii="Garamond" w:hAnsi="Garamond"/>
        </w:rPr>
        <w:t xml:space="preserve"> from multidisciplinary spaces</w:t>
      </w:r>
      <w:r w:rsidR="00E02326">
        <w:rPr>
          <w:rFonts w:ascii="Garamond" w:hAnsi="Garamond"/>
        </w:rPr>
        <w:t xml:space="preserve"> </w:t>
      </w:r>
      <w:r w:rsidR="000108AB">
        <w:rPr>
          <w:rFonts w:ascii="Garamond" w:hAnsi="Garamond"/>
        </w:rPr>
        <w:t>for social inquiry</w:t>
      </w:r>
      <w:r w:rsidR="00272C85">
        <w:rPr>
          <w:rFonts w:ascii="Garamond" w:hAnsi="Garamond"/>
        </w:rPr>
        <w:t>.  Th</w:t>
      </w:r>
      <w:r w:rsidR="00524E14">
        <w:rPr>
          <w:rFonts w:ascii="Garamond" w:hAnsi="Garamond"/>
        </w:rPr>
        <w:t>at</w:t>
      </w:r>
      <w:r w:rsidR="00272C85">
        <w:rPr>
          <w:rFonts w:ascii="Garamond" w:hAnsi="Garamond"/>
        </w:rPr>
        <w:t xml:space="preserve"> is certainly the case with futures studies, and it is also a claim made about </w:t>
      </w:r>
      <w:r w:rsidR="00524E14">
        <w:rPr>
          <w:rFonts w:ascii="Garamond" w:hAnsi="Garamond"/>
        </w:rPr>
        <w:t>the philosophical and theoretical foundations of planning.</w:t>
      </w:r>
      <w:r w:rsidR="00D84449">
        <w:rPr>
          <w:rFonts w:ascii="Garamond" w:hAnsi="Garamond"/>
        </w:rPr>
        <w:t xml:space="preserve">  </w:t>
      </w:r>
      <w:r w:rsidR="00E02326">
        <w:rPr>
          <w:rFonts w:ascii="Garamond" w:hAnsi="Garamond"/>
        </w:rPr>
        <w:t xml:space="preserve">Patrick McAuslan began his seminal book </w:t>
      </w:r>
      <w:r w:rsidR="00E02326" w:rsidRPr="00F158DC">
        <w:rPr>
          <w:rFonts w:ascii="Garamond" w:hAnsi="Garamond"/>
          <w:i/>
          <w:iCs/>
        </w:rPr>
        <w:t>The Ideologies of Planning Law</w:t>
      </w:r>
      <w:r w:rsidR="00E02326">
        <w:rPr>
          <w:rFonts w:ascii="Garamond" w:hAnsi="Garamond"/>
          <w:i/>
          <w:iCs/>
        </w:rPr>
        <w:t xml:space="preserve"> </w:t>
      </w:r>
      <w:r w:rsidR="00E02326">
        <w:rPr>
          <w:rFonts w:ascii="Garamond" w:hAnsi="Garamond"/>
        </w:rPr>
        <w:t>with the observation that: ‘Alone of all the disciplines involved in land use planning in the United Kingdom, law is considered to be, at least by its practitioners and publicists, in no need of a fundamental examination’.</w:t>
      </w:r>
      <w:r w:rsidR="00E02326">
        <w:rPr>
          <w:rStyle w:val="EndnoteReference"/>
          <w:rFonts w:ascii="Garamond" w:hAnsi="Garamond"/>
        </w:rPr>
        <w:endnoteReference w:id="49"/>
      </w:r>
      <w:r w:rsidR="00A45B12">
        <w:rPr>
          <w:rFonts w:ascii="Garamond" w:hAnsi="Garamond"/>
        </w:rPr>
        <w:t xml:space="preserve">  </w:t>
      </w:r>
      <w:r w:rsidR="00D84449">
        <w:rPr>
          <w:rFonts w:ascii="Garamond" w:hAnsi="Garamond"/>
        </w:rPr>
        <w:t xml:space="preserve">More than </w:t>
      </w:r>
      <w:r w:rsidR="001D53CB">
        <w:rPr>
          <w:rFonts w:ascii="Garamond" w:hAnsi="Garamond"/>
        </w:rPr>
        <w:t xml:space="preserve">forty </w:t>
      </w:r>
      <w:r w:rsidR="00D84449">
        <w:rPr>
          <w:rFonts w:ascii="Garamond" w:hAnsi="Garamond"/>
        </w:rPr>
        <w:t xml:space="preserve">years on, </w:t>
      </w:r>
      <w:r w:rsidR="00CD746A">
        <w:rPr>
          <w:rFonts w:ascii="Garamond" w:hAnsi="Garamond"/>
        </w:rPr>
        <w:t>it</w:t>
      </w:r>
      <w:r w:rsidR="00D84449">
        <w:rPr>
          <w:rFonts w:ascii="Garamond" w:hAnsi="Garamond"/>
        </w:rPr>
        <w:t xml:space="preserve"> remains</w:t>
      </w:r>
      <w:r w:rsidR="00A45B12">
        <w:rPr>
          <w:rFonts w:ascii="Garamond" w:hAnsi="Garamond"/>
        </w:rPr>
        <w:t xml:space="preserve"> </w:t>
      </w:r>
      <w:r w:rsidR="00D84449">
        <w:rPr>
          <w:rFonts w:ascii="Garamond" w:hAnsi="Garamond"/>
        </w:rPr>
        <w:t>a</w:t>
      </w:r>
      <w:r w:rsidR="00A45B12">
        <w:rPr>
          <w:rFonts w:ascii="Garamond" w:hAnsi="Garamond"/>
        </w:rPr>
        <w:t xml:space="preserve"> motivating force</w:t>
      </w:r>
      <w:r w:rsidR="00D84449">
        <w:rPr>
          <w:rFonts w:ascii="Garamond" w:hAnsi="Garamond"/>
        </w:rPr>
        <w:t xml:space="preserve"> for</w:t>
      </w:r>
      <w:r w:rsidR="00D761B5">
        <w:rPr>
          <w:rFonts w:ascii="Garamond" w:hAnsi="Garamond"/>
        </w:rPr>
        <w:t xml:space="preserve"> planning law scholarship</w:t>
      </w:r>
      <w:r w:rsidR="00D84449">
        <w:rPr>
          <w:rFonts w:ascii="Garamond" w:hAnsi="Garamond"/>
        </w:rPr>
        <w:t xml:space="preserve">.  And so, one </w:t>
      </w:r>
      <w:r w:rsidR="004264C2">
        <w:rPr>
          <w:rFonts w:ascii="Garamond" w:hAnsi="Garamond"/>
        </w:rPr>
        <w:t xml:space="preserve">reason for encouraging critical </w:t>
      </w:r>
      <w:r w:rsidR="00D84449">
        <w:rPr>
          <w:rFonts w:ascii="Garamond" w:hAnsi="Garamond"/>
        </w:rPr>
        <w:t>reflection on</w:t>
      </w:r>
      <w:r w:rsidR="004264C2">
        <w:rPr>
          <w:rFonts w:ascii="Garamond" w:hAnsi="Garamond"/>
        </w:rPr>
        <w:t xml:space="preserve"> planning law from a futures-perspective is </w:t>
      </w:r>
      <w:r w:rsidR="00B023D2">
        <w:rPr>
          <w:rFonts w:ascii="Garamond" w:hAnsi="Garamond"/>
        </w:rPr>
        <w:t>that it arises out of a</w:t>
      </w:r>
      <w:r w:rsidR="00170A47">
        <w:rPr>
          <w:rFonts w:ascii="Garamond" w:hAnsi="Garamond"/>
        </w:rPr>
        <w:t xml:space="preserve"> </w:t>
      </w:r>
      <w:r w:rsidR="004264C2">
        <w:rPr>
          <w:rFonts w:ascii="Garamond" w:hAnsi="Garamond"/>
        </w:rPr>
        <w:t xml:space="preserve">commitment among academics to chip away </w:t>
      </w:r>
      <w:r w:rsidR="00D84449">
        <w:rPr>
          <w:rFonts w:ascii="Garamond" w:hAnsi="Garamond"/>
        </w:rPr>
        <w:t>at</w:t>
      </w:r>
      <w:r w:rsidR="004264C2">
        <w:rPr>
          <w:rFonts w:ascii="Garamond" w:hAnsi="Garamond"/>
        </w:rPr>
        <w:t xml:space="preserve"> planning law</w:t>
      </w:r>
      <w:r w:rsidR="00D84449">
        <w:rPr>
          <w:rFonts w:ascii="Garamond" w:hAnsi="Garamond"/>
        </w:rPr>
        <w:t>’s reputation</w:t>
      </w:r>
      <w:r w:rsidR="004264C2">
        <w:rPr>
          <w:rFonts w:ascii="Garamond" w:hAnsi="Garamond"/>
        </w:rPr>
        <w:t xml:space="preserve"> </w:t>
      </w:r>
      <w:r w:rsidR="00170A47">
        <w:rPr>
          <w:rFonts w:ascii="Garamond" w:hAnsi="Garamond"/>
        </w:rPr>
        <w:t xml:space="preserve">for being </w:t>
      </w:r>
      <w:r w:rsidR="004264C2">
        <w:rPr>
          <w:rFonts w:ascii="Garamond" w:hAnsi="Garamond"/>
        </w:rPr>
        <w:t>too technical</w:t>
      </w:r>
      <w:r w:rsidR="00721F96">
        <w:rPr>
          <w:rFonts w:ascii="Garamond" w:hAnsi="Garamond"/>
        </w:rPr>
        <w:t>, or worse, too mundane,</w:t>
      </w:r>
      <w:r w:rsidR="004264C2">
        <w:rPr>
          <w:rFonts w:ascii="Garamond" w:hAnsi="Garamond"/>
        </w:rPr>
        <w:t xml:space="preserve"> to be of</w:t>
      </w:r>
      <w:r w:rsidR="00721F96">
        <w:rPr>
          <w:rFonts w:ascii="Garamond" w:hAnsi="Garamond"/>
        </w:rPr>
        <w:t xml:space="preserve"> </w:t>
      </w:r>
      <w:r w:rsidR="004264C2">
        <w:rPr>
          <w:rFonts w:ascii="Garamond" w:hAnsi="Garamond"/>
        </w:rPr>
        <w:t>interest to theorists.</w:t>
      </w:r>
      <w:r w:rsidR="00C71C0B">
        <w:rPr>
          <w:rFonts w:ascii="Garamond" w:hAnsi="Garamond"/>
        </w:rPr>
        <w:t xml:space="preserve">  There</w:t>
      </w:r>
      <w:r w:rsidR="004264C2">
        <w:rPr>
          <w:rFonts w:ascii="Garamond" w:hAnsi="Garamond"/>
        </w:rPr>
        <w:t xml:space="preserve"> is something be gained from ‘taking on the technicalities’</w:t>
      </w:r>
      <w:r w:rsidR="00721F96">
        <w:rPr>
          <w:rFonts w:ascii="Garamond" w:hAnsi="Garamond"/>
        </w:rPr>
        <w:t>,</w:t>
      </w:r>
      <w:r w:rsidR="004264C2">
        <w:rPr>
          <w:rStyle w:val="EndnoteReference"/>
          <w:rFonts w:ascii="Garamond" w:hAnsi="Garamond"/>
        </w:rPr>
        <w:endnoteReference w:id="50"/>
      </w:r>
      <w:r w:rsidR="00721F96">
        <w:rPr>
          <w:rFonts w:ascii="Garamond" w:hAnsi="Garamond"/>
        </w:rPr>
        <w:t xml:space="preserve"> </w:t>
      </w:r>
      <w:r w:rsidR="00C71C0B">
        <w:rPr>
          <w:rFonts w:ascii="Garamond" w:hAnsi="Garamond"/>
        </w:rPr>
        <w:t xml:space="preserve">as Riles compellingly puts it, </w:t>
      </w:r>
      <w:r w:rsidR="008B5764">
        <w:rPr>
          <w:rFonts w:ascii="Garamond" w:hAnsi="Garamond"/>
        </w:rPr>
        <w:t>so that</w:t>
      </w:r>
      <w:r w:rsidR="00721F96">
        <w:rPr>
          <w:rFonts w:ascii="Garamond" w:hAnsi="Garamond"/>
        </w:rPr>
        <w:t xml:space="preserve"> </w:t>
      </w:r>
      <w:r w:rsidR="00AB53A8">
        <w:rPr>
          <w:rFonts w:ascii="Garamond" w:hAnsi="Garamond"/>
        </w:rPr>
        <w:t>legal doctrine and argumentation</w:t>
      </w:r>
      <w:r w:rsidR="008B5764">
        <w:rPr>
          <w:rFonts w:ascii="Garamond" w:hAnsi="Garamond"/>
        </w:rPr>
        <w:t xml:space="preserve"> may</w:t>
      </w:r>
      <w:r w:rsidR="00AB53A8">
        <w:rPr>
          <w:rFonts w:ascii="Garamond" w:hAnsi="Garamond"/>
        </w:rPr>
        <w:t xml:space="preserve"> be reclaimed</w:t>
      </w:r>
      <w:r w:rsidR="00C71C0B">
        <w:rPr>
          <w:rFonts w:ascii="Garamond" w:hAnsi="Garamond"/>
        </w:rPr>
        <w:t xml:space="preserve"> or rediscovered</w:t>
      </w:r>
      <w:r w:rsidR="00AB53A8">
        <w:rPr>
          <w:rFonts w:ascii="Garamond" w:hAnsi="Garamond"/>
        </w:rPr>
        <w:t xml:space="preserve"> for </w:t>
      </w:r>
      <w:r w:rsidR="00721F96">
        <w:rPr>
          <w:rFonts w:ascii="Garamond" w:hAnsi="Garamond"/>
        </w:rPr>
        <w:t>theory.</w:t>
      </w:r>
      <w:r w:rsidR="0042161E">
        <w:rPr>
          <w:rStyle w:val="EndnoteReference"/>
          <w:rFonts w:ascii="Garamond" w:hAnsi="Garamond"/>
        </w:rPr>
        <w:endnoteReference w:id="51"/>
      </w:r>
      <w:r w:rsidR="00C71C0B">
        <w:rPr>
          <w:rFonts w:ascii="Garamond" w:hAnsi="Garamond"/>
        </w:rPr>
        <w:t xml:space="preserve">  </w:t>
      </w:r>
      <w:r w:rsidR="0037771C">
        <w:rPr>
          <w:rFonts w:ascii="Garamond" w:hAnsi="Garamond"/>
        </w:rPr>
        <w:t>In that spirit, c</w:t>
      </w:r>
      <w:r w:rsidR="004124E8">
        <w:rPr>
          <w:rFonts w:ascii="Garamond" w:hAnsi="Garamond"/>
        </w:rPr>
        <w:t>onnecting p</w:t>
      </w:r>
      <w:r w:rsidR="00C71C0B">
        <w:rPr>
          <w:rFonts w:ascii="Garamond" w:hAnsi="Garamond"/>
        </w:rPr>
        <w:t>lanning law and futures theory</w:t>
      </w:r>
      <w:r w:rsidR="00721F96">
        <w:rPr>
          <w:rFonts w:ascii="Garamond" w:hAnsi="Garamond"/>
        </w:rPr>
        <w:t xml:space="preserve"> </w:t>
      </w:r>
      <w:r w:rsidR="004124E8">
        <w:rPr>
          <w:rFonts w:ascii="Garamond" w:hAnsi="Garamond"/>
        </w:rPr>
        <w:t xml:space="preserve">is not an occasion for lament, but rather an opportunity for exploring the possibilities that the two fields offer each other. </w:t>
      </w:r>
    </w:p>
    <w:p w14:paraId="24A690F8" w14:textId="77777777" w:rsidR="00A55031" w:rsidRDefault="00A55031" w:rsidP="00E72458">
      <w:pPr>
        <w:spacing w:line="360" w:lineRule="auto"/>
        <w:rPr>
          <w:rFonts w:ascii="Garamond" w:hAnsi="Garamond"/>
        </w:rPr>
      </w:pPr>
    </w:p>
    <w:p w14:paraId="15FC2667" w14:textId="3B06CF25" w:rsidR="00950BD7" w:rsidRPr="007D1880" w:rsidRDefault="0045007A" w:rsidP="007D1880">
      <w:pPr>
        <w:spacing w:line="360" w:lineRule="auto"/>
        <w:jc w:val="center"/>
        <w:rPr>
          <w:rFonts w:ascii="Garamond" w:hAnsi="Garamond"/>
          <w:b/>
          <w:bCs/>
          <w:sz w:val="28"/>
          <w:szCs w:val="28"/>
        </w:rPr>
      </w:pPr>
      <w:r>
        <w:rPr>
          <w:rFonts w:ascii="Garamond" w:hAnsi="Garamond"/>
          <w:b/>
          <w:bCs/>
          <w:sz w:val="28"/>
          <w:szCs w:val="28"/>
        </w:rPr>
        <w:t>Finding Futures in Planning Law</w:t>
      </w:r>
    </w:p>
    <w:p w14:paraId="0559FD7C" w14:textId="4F9D7159" w:rsidR="00950BD7" w:rsidRDefault="00950BD7" w:rsidP="00950BD7">
      <w:pPr>
        <w:spacing w:line="360" w:lineRule="auto"/>
        <w:rPr>
          <w:rFonts w:ascii="Garamond" w:hAnsi="Garamond"/>
        </w:rPr>
      </w:pPr>
      <w:r>
        <w:rPr>
          <w:rFonts w:ascii="Garamond" w:hAnsi="Garamond"/>
        </w:rPr>
        <w:t xml:space="preserve">To illustrate how the approach just outlined could be put to use, I will draw </w:t>
      </w:r>
      <w:r w:rsidR="00422A7A">
        <w:rPr>
          <w:rFonts w:ascii="Garamond" w:hAnsi="Garamond"/>
        </w:rPr>
        <w:t xml:space="preserve">on two </w:t>
      </w:r>
      <w:r>
        <w:rPr>
          <w:rFonts w:ascii="Garamond" w:hAnsi="Garamond"/>
        </w:rPr>
        <w:t xml:space="preserve">different aspects of the English planning regime as applied to hydraulic fracturing, or </w:t>
      </w:r>
      <w:r w:rsidR="00783E90">
        <w:rPr>
          <w:rFonts w:ascii="Garamond" w:hAnsi="Garamond"/>
        </w:rPr>
        <w:t>‘</w:t>
      </w:r>
      <w:r>
        <w:rPr>
          <w:rFonts w:ascii="Garamond" w:hAnsi="Garamond"/>
        </w:rPr>
        <w:t>fracking</w:t>
      </w:r>
      <w:r w:rsidR="00783E90">
        <w:rPr>
          <w:rFonts w:ascii="Garamond" w:hAnsi="Garamond"/>
        </w:rPr>
        <w:t>’</w:t>
      </w:r>
      <w:r>
        <w:rPr>
          <w:rFonts w:ascii="Garamond" w:hAnsi="Garamond"/>
        </w:rPr>
        <w:t>, for unconventional oil and gas</w:t>
      </w:r>
      <w:r w:rsidR="00422A7A">
        <w:rPr>
          <w:rFonts w:ascii="Garamond" w:hAnsi="Garamond"/>
        </w:rPr>
        <w:t xml:space="preserve"> such as shale gas.  They are: the role of the statutory development plan in determining planning applications, and the scope of the Secretary of State’s powers to call-in applications and recover appeals.  Although the illustrations differ in their legal particularities, each addresses the future not as a passive object of governance, but as an active form of legality that produces legal meaning and effect.  </w:t>
      </w:r>
      <w:r>
        <w:rPr>
          <w:rFonts w:ascii="Garamond" w:hAnsi="Garamond"/>
        </w:rPr>
        <w:t xml:space="preserve">The purpose is not to claim any generalisable findings, as that would be impossible from such a narrow base.  Instead the example is intended to raise more questions, and by doing so, start conversation about the directions that this type of analysis could take.  </w:t>
      </w:r>
    </w:p>
    <w:p w14:paraId="4E71EFA5" w14:textId="59DB0CD9" w:rsidR="00E75B45" w:rsidRDefault="00551BD4" w:rsidP="00E72458">
      <w:pPr>
        <w:spacing w:line="360" w:lineRule="auto"/>
        <w:rPr>
          <w:rFonts w:ascii="Garamond" w:hAnsi="Garamond"/>
        </w:rPr>
      </w:pPr>
      <w:r>
        <w:rPr>
          <w:rFonts w:ascii="Garamond" w:hAnsi="Garamond"/>
        </w:rPr>
        <w:lastRenderedPageBreak/>
        <w:t xml:space="preserve"> </w:t>
      </w:r>
    </w:p>
    <w:p w14:paraId="36B993BC" w14:textId="4E9E89A1" w:rsidR="00245801" w:rsidRDefault="00BD6984" w:rsidP="00877A23">
      <w:pPr>
        <w:spacing w:line="360" w:lineRule="auto"/>
        <w:rPr>
          <w:rFonts w:ascii="Garamond" w:hAnsi="Garamond"/>
        </w:rPr>
      </w:pPr>
      <w:r>
        <w:rPr>
          <w:rFonts w:ascii="Garamond" w:hAnsi="Garamond"/>
        </w:rPr>
        <w:t xml:space="preserve">The development of </w:t>
      </w:r>
      <w:r w:rsidR="00C7539F">
        <w:rPr>
          <w:rFonts w:ascii="Garamond" w:hAnsi="Garamond"/>
        </w:rPr>
        <w:t>unconventional oil and gas, typically</w:t>
      </w:r>
      <w:r w:rsidR="00D27993">
        <w:rPr>
          <w:rFonts w:ascii="Garamond" w:hAnsi="Garamond"/>
        </w:rPr>
        <w:t xml:space="preserve"> shale gas</w:t>
      </w:r>
      <w:r w:rsidR="00C7539F">
        <w:rPr>
          <w:rFonts w:ascii="Garamond" w:hAnsi="Garamond"/>
        </w:rPr>
        <w:t>,</w:t>
      </w:r>
      <w:r w:rsidR="00D27993">
        <w:rPr>
          <w:rFonts w:ascii="Garamond" w:hAnsi="Garamond"/>
        </w:rPr>
        <w:t xml:space="preserve"> </w:t>
      </w:r>
      <w:r w:rsidR="00D2705F">
        <w:rPr>
          <w:rFonts w:ascii="Garamond" w:hAnsi="Garamond"/>
        </w:rPr>
        <w:t xml:space="preserve">provides an intensely futural context in which to </w:t>
      </w:r>
      <w:r w:rsidR="00C7539F">
        <w:rPr>
          <w:rFonts w:ascii="Garamond" w:hAnsi="Garamond"/>
        </w:rPr>
        <w:t xml:space="preserve">ground </w:t>
      </w:r>
      <w:r w:rsidR="00D2705F">
        <w:rPr>
          <w:rFonts w:ascii="Garamond" w:hAnsi="Garamond"/>
        </w:rPr>
        <w:t>the discussion</w:t>
      </w:r>
      <w:r>
        <w:rPr>
          <w:rFonts w:ascii="Garamond" w:hAnsi="Garamond"/>
        </w:rPr>
        <w:t xml:space="preserve">, because it </w:t>
      </w:r>
      <w:r w:rsidR="00C7539F">
        <w:rPr>
          <w:rFonts w:ascii="Garamond" w:hAnsi="Garamond"/>
        </w:rPr>
        <w:t>involves</w:t>
      </w:r>
      <w:r w:rsidR="00D2705F">
        <w:rPr>
          <w:rFonts w:ascii="Garamond" w:hAnsi="Garamond"/>
        </w:rPr>
        <w:t xml:space="preserve"> ‘heroic’ future narratives of technological innovation</w:t>
      </w:r>
      <w:r w:rsidR="00E51A6A">
        <w:rPr>
          <w:rFonts w:ascii="Garamond" w:hAnsi="Garamond"/>
        </w:rPr>
        <w:t>;</w:t>
      </w:r>
      <w:r w:rsidR="00D2705F">
        <w:rPr>
          <w:rStyle w:val="EndnoteReference"/>
          <w:rFonts w:ascii="Garamond" w:hAnsi="Garamond"/>
        </w:rPr>
        <w:endnoteReference w:id="52"/>
      </w:r>
      <w:r w:rsidR="00BE07F5">
        <w:rPr>
          <w:rFonts w:ascii="Garamond" w:hAnsi="Garamond"/>
        </w:rPr>
        <w:t xml:space="preserve"> promises of a cleaner, cheaper and more secure energy supply</w:t>
      </w:r>
      <w:r w:rsidR="00E51A6A">
        <w:rPr>
          <w:rFonts w:ascii="Garamond" w:hAnsi="Garamond"/>
        </w:rPr>
        <w:t>;</w:t>
      </w:r>
      <w:r w:rsidR="00BE07F5">
        <w:rPr>
          <w:rStyle w:val="EndnoteReference"/>
          <w:rFonts w:ascii="Garamond" w:hAnsi="Garamond"/>
        </w:rPr>
        <w:endnoteReference w:id="53"/>
      </w:r>
      <w:r w:rsidR="00BE07F5">
        <w:rPr>
          <w:rFonts w:ascii="Garamond" w:hAnsi="Garamond"/>
        </w:rPr>
        <w:t xml:space="preserve"> fears about the short- and long-term consequences of the drilling technique itself and of </w:t>
      </w:r>
      <w:r w:rsidR="007D5E57">
        <w:rPr>
          <w:rFonts w:ascii="Garamond" w:hAnsi="Garamond"/>
        </w:rPr>
        <w:t>prospective</w:t>
      </w:r>
      <w:r w:rsidR="00BE07F5">
        <w:rPr>
          <w:rFonts w:ascii="Garamond" w:hAnsi="Garamond"/>
        </w:rPr>
        <w:t xml:space="preserve"> shale gas </w:t>
      </w:r>
      <w:r w:rsidR="007D5E57">
        <w:rPr>
          <w:rFonts w:ascii="Garamond" w:hAnsi="Garamond"/>
        </w:rPr>
        <w:t>exploitation</w:t>
      </w:r>
      <w:r w:rsidR="00E51A6A">
        <w:rPr>
          <w:rFonts w:ascii="Garamond" w:hAnsi="Garamond"/>
        </w:rPr>
        <w:t>;</w:t>
      </w:r>
      <w:r w:rsidR="007D5E57">
        <w:rPr>
          <w:rStyle w:val="EndnoteReference"/>
          <w:rFonts w:ascii="Garamond" w:hAnsi="Garamond"/>
        </w:rPr>
        <w:endnoteReference w:id="54"/>
      </w:r>
      <w:r w:rsidR="00C12D39">
        <w:rPr>
          <w:rFonts w:ascii="Garamond" w:hAnsi="Garamond"/>
        </w:rPr>
        <w:t xml:space="preserve"> and framings of shale gas </w:t>
      </w:r>
      <w:r w:rsidR="00CB1165">
        <w:rPr>
          <w:rFonts w:ascii="Garamond" w:hAnsi="Garamond"/>
        </w:rPr>
        <w:t xml:space="preserve">a key </w:t>
      </w:r>
      <w:r w:rsidR="00C0016B">
        <w:rPr>
          <w:rFonts w:ascii="Garamond" w:hAnsi="Garamond"/>
        </w:rPr>
        <w:t>part of</w:t>
      </w:r>
      <w:r w:rsidR="00CB1165">
        <w:rPr>
          <w:rFonts w:ascii="Garamond" w:hAnsi="Garamond"/>
        </w:rPr>
        <w:t xml:space="preserve"> the UK’s efforts to meet its 2050 emissions reduction target and interim carbon budgets,</w:t>
      </w:r>
      <w:r w:rsidR="00CB1165">
        <w:rPr>
          <w:rStyle w:val="EndnoteReference"/>
          <w:rFonts w:ascii="Garamond" w:hAnsi="Garamond"/>
        </w:rPr>
        <w:endnoteReference w:id="55"/>
      </w:r>
      <w:r w:rsidR="00CB1165">
        <w:rPr>
          <w:rFonts w:ascii="Garamond" w:hAnsi="Garamond"/>
        </w:rPr>
        <w:t xml:space="preserve"> and as a </w:t>
      </w:r>
      <w:r w:rsidR="00C12D39">
        <w:rPr>
          <w:rFonts w:ascii="Garamond" w:hAnsi="Garamond"/>
        </w:rPr>
        <w:t>‘bridging fuel’ to a greener future</w:t>
      </w:r>
      <w:r w:rsidR="00CB1165">
        <w:rPr>
          <w:rFonts w:ascii="Garamond" w:hAnsi="Garamond"/>
        </w:rPr>
        <w:t>.</w:t>
      </w:r>
      <w:r w:rsidR="00C62B41">
        <w:rPr>
          <w:rStyle w:val="EndnoteReference"/>
          <w:rFonts w:ascii="Garamond" w:hAnsi="Garamond"/>
        </w:rPr>
        <w:endnoteReference w:id="56"/>
      </w:r>
      <w:r w:rsidR="00A954CA">
        <w:rPr>
          <w:rFonts w:ascii="Garamond" w:hAnsi="Garamond"/>
        </w:rPr>
        <w:t xml:space="preserve">  </w:t>
      </w:r>
      <w:r w:rsidR="00176E47">
        <w:rPr>
          <w:rFonts w:ascii="Garamond" w:hAnsi="Garamond"/>
        </w:rPr>
        <w:t xml:space="preserve">This </w:t>
      </w:r>
      <w:r w:rsidR="001A1018">
        <w:rPr>
          <w:rFonts w:ascii="Garamond" w:hAnsi="Garamond"/>
        </w:rPr>
        <w:t xml:space="preserve">is </w:t>
      </w:r>
      <w:r w:rsidR="00176E47">
        <w:rPr>
          <w:rFonts w:ascii="Garamond" w:hAnsi="Garamond"/>
        </w:rPr>
        <w:t xml:space="preserve">borne out in conflicts over the siting of shale gas operations, which expose </w:t>
      </w:r>
      <w:r w:rsidR="00BA07AE">
        <w:rPr>
          <w:rFonts w:ascii="Garamond" w:hAnsi="Garamond"/>
        </w:rPr>
        <w:t xml:space="preserve">the diverging ways in which participants in the planning process make sense of time.  </w:t>
      </w:r>
      <w:r w:rsidR="00245801">
        <w:rPr>
          <w:rFonts w:ascii="Garamond" w:hAnsi="Garamond"/>
        </w:rPr>
        <w:t xml:space="preserve">As Anna </w:t>
      </w:r>
      <w:proofErr w:type="spellStart"/>
      <w:r w:rsidR="00245801">
        <w:rPr>
          <w:rFonts w:ascii="Garamond" w:hAnsi="Garamond"/>
        </w:rPr>
        <w:t>Szolucha</w:t>
      </w:r>
      <w:proofErr w:type="spellEnd"/>
      <w:r w:rsidR="00245801">
        <w:rPr>
          <w:rFonts w:ascii="Garamond" w:hAnsi="Garamond"/>
        </w:rPr>
        <w:t xml:space="preserve"> demonstrates, the grant of planning permission for exploratory shale gas works at Preston New Road, Lancashire, invoked very different modes of time-reckoning – for example, an accelerated capitalist temporality built on the promise of a new future of progress and growth, compared with the temporal tactics adopted by protestors to slow down the construction and operation of the drilling site.</w:t>
      </w:r>
      <w:r w:rsidR="00245801">
        <w:rPr>
          <w:rStyle w:val="EndnoteReference"/>
          <w:rFonts w:ascii="Garamond" w:hAnsi="Garamond"/>
        </w:rPr>
        <w:endnoteReference w:id="57"/>
      </w:r>
    </w:p>
    <w:p w14:paraId="3B071E93" w14:textId="22531903" w:rsidR="007F270B" w:rsidRDefault="007F270B" w:rsidP="00877A23">
      <w:pPr>
        <w:spacing w:line="360" w:lineRule="auto"/>
        <w:rPr>
          <w:rFonts w:ascii="Garamond" w:hAnsi="Garamond"/>
        </w:rPr>
      </w:pPr>
    </w:p>
    <w:p w14:paraId="443A967A" w14:textId="21312AAB" w:rsidR="001B4FC1" w:rsidRDefault="00245801" w:rsidP="007877BF">
      <w:pPr>
        <w:spacing w:line="360" w:lineRule="auto"/>
        <w:rPr>
          <w:rFonts w:ascii="Garamond" w:hAnsi="Garamond"/>
        </w:rPr>
      </w:pPr>
      <w:r>
        <w:rPr>
          <w:rFonts w:ascii="Garamond" w:hAnsi="Garamond"/>
        </w:rPr>
        <w:t xml:space="preserve">Planning </w:t>
      </w:r>
      <w:r w:rsidR="001D1372">
        <w:rPr>
          <w:rFonts w:ascii="Garamond" w:hAnsi="Garamond"/>
        </w:rPr>
        <w:t>disputes</w:t>
      </w:r>
      <w:r w:rsidR="00CA7EC8">
        <w:rPr>
          <w:rFonts w:ascii="Garamond" w:hAnsi="Garamond"/>
        </w:rPr>
        <w:t xml:space="preserve"> can be especially revealing of the multiple and competing futures of any given place</w:t>
      </w:r>
      <w:r w:rsidR="00176E47">
        <w:rPr>
          <w:rFonts w:ascii="Garamond" w:hAnsi="Garamond"/>
        </w:rPr>
        <w:t xml:space="preserve">.  It </w:t>
      </w:r>
      <w:r w:rsidR="00CA7EC8">
        <w:rPr>
          <w:rFonts w:ascii="Garamond" w:hAnsi="Garamond"/>
        </w:rPr>
        <w:t>is more usual</w:t>
      </w:r>
      <w:r w:rsidR="00176E47">
        <w:rPr>
          <w:rFonts w:ascii="Garamond" w:hAnsi="Garamond"/>
        </w:rPr>
        <w:t>, however,</w:t>
      </w:r>
      <w:r w:rsidR="00CA7EC8">
        <w:rPr>
          <w:rFonts w:ascii="Garamond" w:hAnsi="Garamond"/>
        </w:rPr>
        <w:t xml:space="preserve"> to see </w:t>
      </w:r>
      <w:r w:rsidR="004E5AF9">
        <w:rPr>
          <w:rFonts w:ascii="Garamond" w:hAnsi="Garamond"/>
        </w:rPr>
        <w:t>disputes</w:t>
      </w:r>
      <w:r w:rsidR="00CA7EC8">
        <w:rPr>
          <w:rFonts w:ascii="Garamond" w:hAnsi="Garamond"/>
        </w:rPr>
        <w:t xml:space="preserve"> characterised as conflicts between localised ‘not-in-my-backyard’ politics and the broader public interest.  </w:t>
      </w:r>
      <w:r>
        <w:rPr>
          <w:rFonts w:ascii="Garamond" w:hAnsi="Garamond"/>
        </w:rPr>
        <w:t>No doubt, a</w:t>
      </w:r>
      <w:r w:rsidR="00CA7EC8">
        <w:rPr>
          <w:rFonts w:ascii="Garamond" w:hAnsi="Garamond"/>
        </w:rPr>
        <w:t xml:space="preserve"> critical source of disagreement in the planning and regulation of shale gas fracking has been the different scalar frames employed in defining the problem and proposing its resolution.</w:t>
      </w:r>
      <w:r w:rsidR="00CA7EC8">
        <w:rPr>
          <w:rStyle w:val="EndnoteReference"/>
          <w:rFonts w:ascii="Garamond" w:hAnsi="Garamond"/>
        </w:rPr>
        <w:endnoteReference w:id="58"/>
      </w:r>
      <w:r w:rsidR="00CA7EC8">
        <w:rPr>
          <w:rFonts w:ascii="Garamond" w:hAnsi="Garamond"/>
        </w:rPr>
        <w:t xml:space="preserve">  </w:t>
      </w:r>
      <w:r w:rsidR="0033759F">
        <w:rPr>
          <w:rFonts w:ascii="Garamond" w:hAnsi="Garamond"/>
        </w:rPr>
        <w:t xml:space="preserve">Chris Hilson has </w:t>
      </w:r>
      <w:r w:rsidR="00082889">
        <w:rPr>
          <w:rFonts w:ascii="Garamond" w:hAnsi="Garamond"/>
        </w:rPr>
        <w:t>carefully examined how</w:t>
      </w:r>
      <w:r w:rsidR="0033759F">
        <w:rPr>
          <w:rFonts w:ascii="Garamond" w:hAnsi="Garamond"/>
        </w:rPr>
        <w:t xml:space="preserve"> c</w:t>
      </w:r>
      <w:r w:rsidR="00CA7EC8">
        <w:rPr>
          <w:rFonts w:ascii="Garamond" w:hAnsi="Garamond"/>
        </w:rPr>
        <w:t xml:space="preserve">ertain </w:t>
      </w:r>
      <w:r w:rsidR="008E434A">
        <w:rPr>
          <w:rFonts w:ascii="Garamond" w:hAnsi="Garamond"/>
        </w:rPr>
        <w:t xml:space="preserve">scalar </w:t>
      </w:r>
      <w:r w:rsidR="00CA7EC8">
        <w:rPr>
          <w:rFonts w:ascii="Garamond" w:hAnsi="Garamond"/>
        </w:rPr>
        <w:t>frames have</w:t>
      </w:r>
      <w:r w:rsidR="00082889">
        <w:rPr>
          <w:rFonts w:ascii="Garamond" w:hAnsi="Garamond"/>
        </w:rPr>
        <w:t xml:space="preserve"> come to</w:t>
      </w:r>
      <w:r w:rsidR="00CA7EC8">
        <w:rPr>
          <w:rFonts w:ascii="Garamond" w:hAnsi="Garamond"/>
        </w:rPr>
        <w:t xml:space="preserve"> dominate (e.g. the</w:t>
      </w:r>
      <w:r w:rsidR="00CA7EC8" w:rsidRPr="008E434A">
        <w:rPr>
          <w:rFonts w:ascii="Garamond" w:hAnsi="Garamond"/>
        </w:rPr>
        <w:t xml:space="preserve"> local</w:t>
      </w:r>
      <w:r w:rsidR="00CA7EC8">
        <w:rPr>
          <w:rFonts w:ascii="Garamond" w:hAnsi="Garamond"/>
        </w:rPr>
        <w:t xml:space="preserve"> risks of fracking weighed against the </w:t>
      </w:r>
      <w:r w:rsidR="00CA7EC8" w:rsidRPr="008E434A">
        <w:rPr>
          <w:rFonts w:ascii="Garamond" w:hAnsi="Garamond"/>
        </w:rPr>
        <w:t xml:space="preserve">national </w:t>
      </w:r>
      <w:r w:rsidR="00CA7EC8">
        <w:rPr>
          <w:rFonts w:ascii="Garamond" w:hAnsi="Garamond"/>
        </w:rPr>
        <w:t>need for energy supply) whereas others have been</w:t>
      </w:r>
      <w:r w:rsidR="002C4CFE">
        <w:rPr>
          <w:rFonts w:ascii="Garamond" w:hAnsi="Garamond"/>
        </w:rPr>
        <w:t xml:space="preserve"> repressed or filtered out of the system altogether </w:t>
      </w:r>
      <w:r w:rsidR="00CA7EC8">
        <w:rPr>
          <w:rFonts w:ascii="Garamond" w:hAnsi="Garamond"/>
        </w:rPr>
        <w:t xml:space="preserve">(e.g. the </w:t>
      </w:r>
      <w:r w:rsidR="00CA7EC8" w:rsidRPr="008E434A">
        <w:rPr>
          <w:rFonts w:ascii="Garamond" w:hAnsi="Garamond"/>
        </w:rPr>
        <w:t xml:space="preserve">global </w:t>
      </w:r>
      <w:r w:rsidR="00CA7EC8">
        <w:rPr>
          <w:rFonts w:ascii="Garamond" w:hAnsi="Garamond"/>
        </w:rPr>
        <w:t>climate consequences of fossil fuel extraction).</w:t>
      </w:r>
      <w:r w:rsidR="002C4CFE">
        <w:rPr>
          <w:rFonts w:ascii="Garamond" w:hAnsi="Garamond"/>
        </w:rPr>
        <w:t xml:space="preserve">  </w:t>
      </w:r>
      <w:r w:rsidR="00346308">
        <w:rPr>
          <w:rFonts w:ascii="Garamond" w:hAnsi="Garamond"/>
        </w:rPr>
        <w:t xml:space="preserve">In this </w:t>
      </w:r>
      <w:r w:rsidR="001B4FC1">
        <w:rPr>
          <w:rFonts w:ascii="Garamond" w:hAnsi="Garamond"/>
        </w:rPr>
        <w:t>sense, p</w:t>
      </w:r>
      <w:r w:rsidR="002C4CFE">
        <w:rPr>
          <w:rFonts w:ascii="Garamond" w:hAnsi="Garamond"/>
        </w:rPr>
        <w:t xml:space="preserve">lanning law </w:t>
      </w:r>
      <w:r w:rsidR="001B4FC1">
        <w:rPr>
          <w:rFonts w:ascii="Garamond" w:hAnsi="Garamond"/>
        </w:rPr>
        <w:t xml:space="preserve">serves </w:t>
      </w:r>
      <w:r w:rsidR="002C4CFE">
        <w:rPr>
          <w:rFonts w:ascii="Garamond" w:hAnsi="Garamond"/>
        </w:rPr>
        <w:t>as a ‘funnel’</w:t>
      </w:r>
      <w:r w:rsidR="00695AA7">
        <w:rPr>
          <w:rStyle w:val="EndnoteReference"/>
          <w:rFonts w:ascii="Garamond" w:hAnsi="Garamond"/>
        </w:rPr>
        <w:endnoteReference w:id="59"/>
      </w:r>
      <w:r w:rsidR="002C4CFE">
        <w:rPr>
          <w:rFonts w:ascii="Garamond" w:hAnsi="Garamond"/>
        </w:rPr>
        <w:t xml:space="preserve"> </w:t>
      </w:r>
      <w:r w:rsidR="00695AA7">
        <w:rPr>
          <w:rFonts w:ascii="Garamond" w:hAnsi="Garamond"/>
        </w:rPr>
        <w:t xml:space="preserve">for </w:t>
      </w:r>
      <w:r w:rsidR="001B4FC1">
        <w:rPr>
          <w:rFonts w:ascii="Garamond" w:hAnsi="Garamond"/>
        </w:rPr>
        <w:t xml:space="preserve">arguments about which scales are most </w:t>
      </w:r>
      <w:r w:rsidR="008E3613">
        <w:rPr>
          <w:rFonts w:ascii="Garamond" w:hAnsi="Garamond"/>
        </w:rPr>
        <w:t xml:space="preserve">important for any given decision.  But planning law also funnels and filters different temporal relations, including of course </w:t>
      </w:r>
      <w:r w:rsidR="00986818">
        <w:rPr>
          <w:rFonts w:ascii="Garamond" w:hAnsi="Garamond"/>
        </w:rPr>
        <w:t>different orientations to, imaginations of and</w:t>
      </w:r>
      <w:r w:rsidR="008E3613">
        <w:rPr>
          <w:rFonts w:ascii="Garamond" w:hAnsi="Garamond"/>
        </w:rPr>
        <w:t xml:space="preserve"> engagements with possible futures. </w:t>
      </w:r>
    </w:p>
    <w:p w14:paraId="03E86ADB" w14:textId="77777777" w:rsidR="009B6DB4" w:rsidRDefault="009B6DB4" w:rsidP="007877BF">
      <w:pPr>
        <w:spacing w:line="360" w:lineRule="auto"/>
        <w:rPr>
          <w:rFonts w:ascii="Garamond" w:hAnsi="Garamond"/>
        </w:rPr>
      </w:pPr>
    </w:p>
    <w:p w14:paraId="5512DEC7" w14:textId="0A04CA04" w:rsidR="005D1C06" w:rsidRDefault="00AF1C0B" w:rsidP="007877BF">
      <w:pPr>
        <w:spacing w:line="360" w:lineRule="auto"/>
        <w:rPr>
          <w:rFonts w:ascii="Garamond" w:hAnsi="Garamond"/>
        </w:rPr>
      </w:pPr>
      <w:r>
        <w:rPr>
          <w:rFonts w:ascii="Garamond" w:hAnsi="Garamond"/>
        </w:rPr>
        <w:t xml:space="preserve">An obvious </w:t>
      </w:r>
      <w:r w:rsidR="004E5AF9">
        <w:rPr>
          <w:rFonts w:ascii="Garamond" w:hAnsi="Garamond"/>
        </w:rPr>
        <w:t>meeting point for</w:t>
      </w:r>
      <w:r>
        <w:rPr>
          <w:rFonts w:ascii="Garamond" w:hAnsi="Garamond"/>
        </w:rPr>
        <w:t xml:space="preserve"> planning law and the future is</w:t>
      </w:r>
      <w:r w:rsidR="00A97720">
        <w:rPr>
          <w:rFonts w:ascii="Garamond" w:hAnsi="Garamond"/>
        </w:rPr>
        <w:t xml:space="preserve"> </w:t>
      </w:r>
      <w:r w:rsidR="004E5AF9">
        <w:rPr>
          <w:rFonts w:ascii="Garamond" w:hAnsi="Garamond"/>
        </w:rPr>
        <w:t xml:space="preserve">the </w:t>
      </w:r>
      <w:r w:rsidR="000F1DBB">
        <w:rPr>
          <w:rFonts w:ascii="Garamond" w:hAnsi="Garamond"/>
        </w:rPr>
        <w:t xml:space="preserve">statutory </w:t>
      </w:r>
      <w:r w:rsidR="00BC156C">
        <w:rPr>
          <w:rFonts w:ascii="Garamond" w:hAnsi="Garamond"/>
        </w:rPr>
        <w:t>development plan</w:t>
      </w:r>
      <w:r w:rsidR="00A97720">
        <w:rPr>
          <w:rFonts w:ascii="Garamond" w:hAnsi="Garamond"/>
        </w:rPr>
        <w:t>.</w:t>
      </w:r>
      <w:r w:rsidR="00E035E7">
        <w:rPr>
          <w:rFonts w:ascii="Garamond" w:hAnsi="Garamond"/>
        </w:rPr>
        <w:t xml:space="preserve">  The drilling operations associated with fracking amount to ‘development’ and therefore require planning permission from the local mineral planning authority.</w:t>
      </w:r>
      <w:r w:rsidR="00E035E7">
        <w:rPr>
          <w:rStyle w:val="EndnoteReference"/>
          <w:rFonts w:ascii="Garamond" w:hAnsi="Garamond"/>
        </w:rPr>
        <w:endnoteReference w:id="60"/>
      </w:r>
      <w:r w:rsidR="008E434A">
        <w:rPr>
          <w:rFonts w:ascii="Garamond" w:hAnsi="Garamond"/>
        </w:rPr>
        <w:t xml:space="preserve">  It is a central tenet of the local planning regime that applications for planning permission must be determined in accordance with the development plan, unless material considerations indicate otherwise.</w:t>
      </w:r>
      <w:r w:rsidR="008E434A">
        <w:rPr>
          <w:rStyle w:val="EndnoteReference"/>
          <w:rFonts w:ascii="Garamond" w:hAnsi="Garamond"/>
        </w:rPr>
        <w:endnoteReference w:id="61"/>
      </w:r>
      <w:r w:rsidR="008E434A">
        <w:rPr>
          <w:rFonts w:ascii="Garamond" w:hAnsi="Garamond"/>
        </w:rPr>
        <w:t xml:space="preserve">  </w:t>
      </w:r>
      <w:r w:rsidR="00A273FD">
        <w:rPr>
          <w:rFonts w:ascii="Garamond" w:hAnsi="Garamond"/>
        </w:rPr>
        <w:t xml:space="preserve">A development plan is prepared by the local planning authority, and sets out a vision and a framework for </w:t>
      </w:r>
      <w:r w:rsidR="00A273FD">
        <w:rPr>
          <w:rFonts w:ascii="Garamond" w:hAnsi="Garamond"/>
        </w:rPr>
        <w:lastRenderedPageBreak/>
        <w:t>development in the authority’s area.</w:t>
      </w:r>
      <w:r w:rsidR="008E434A">
        <w:rPr>
          <w:rFonts w:ascii="Garamond" w:hAnsi="Garamond"/>
        </w:rPr>
        <w:t xml:space="preserve">  It </w:t>
      </w:r>
      <w:r w:rsidR="009651A4">
        <w:rPr>
          <w:rFonts w:ascii="Garamond" w:hAnsi="Garamond"/>
        </w:rPr>
        <w:t>comprises local and neighbourhood plans, and any ‘saved policies’ carried over from former regional plans.</w:t>
      </w:r>
      <w:r w:rsidR="00A273FD">
        <w:rPr>
          <w:rFonts w:ascii="Garamond" w:hAnsi="Garamond"/>
        </w:rPr>
        <w:t xml:space="preserve">  </w:t>
      </w:r>
      <w:r w:rsidR="008E434A">
        <w:rPr>
          <w:rFonts w:ascii="Garamond" w:hAnsi="Garamond"/>
        </w:rPr>
        <w:t>The development plan</w:t>
      </w:r>
      <w:r w:rsidR="00A273FD">
        <w:rPr>
          <w:rFonts w:ascii="Garamond" w:hAnsi="Garamond"/>
        </w:rPr>
        <w:t xml:space="preserve"> </w:t>
      </w:r>
      <w:r w:rsidR="001676A7">
        <w:rPr>
          <w:rFonts w:ascii="Garamond" w:hAnsi="Garamond"/>
        </w:rPr>
        <w:t xml:space="preserve">must </w:t>
      </w:r>
      <w:r w:rsidR="00022BCA">
        <w:rPr>
          <w:rFonts w:ascii="Garamond" w:hAnsi="Garamond"/>
        </w:rPr>
        <w:t>include policies on the local planning authority’s strategic priorities,</w:t>
      </w:r>
      <w:r w:rsidR="001676A7">
        <w:rPr>
          <w:rStyle w:val="EndnoteReference"/>
          <w:rFonts w:ascii="Garamond" w:hAnsi="Garamond"/>
        </w:rPr>
        <w:endnoteReference w:id="62"/>
      </w:r>
      <w:r w:rsidR="00022BCA">
        <w:rPr>
          <w:rFonts w:ascii="Garamond" w:hAnsi="Garamond"/>
        </w:rPr>
        <w:t xml:space="preserve"> </w:t>
      </w:r>
      <w:r w:rsidR="001676A7">
        <w:rPr>
          <w:rFonts w:ascii="Garamond" w:hAnsi="Garamond"/>
        </w:rPr>
        <w:t>and make ‘sufficient provision’</w:t>
      </w:r>
      <w:r w:rsidR="001676A7">
        <w:rPr>
          <w:rStyle w:val="EndnoteReference"/>
          <w:rFonts w:ascii="Garamond" w:hAnsi="Garamond"/>
        </w:rPr>
        <w:endnoteReference w:id="63"/>
      </w:r>
      <w:r w:rsidR="001676A7">
        <w:rPr>
          <w:rFonts w:ascii="Garamond" w:hAnsi="Garamond"/>
        </w:rPr>
        <w:t xml:space="preserve"> for a number of key land uses, such as housing, community facilities, the conservation and enhancement of the natural, built and historic environment, and, importantly for current purposes, the provision of minerals and energy.</w:t>
      </w:r>
      <w:r w:rsidR="00013DFA">
        <w:rPr>
          <w:rFonts w:ascii="Garamond" w:hAnsi="Garamond"/>
        </w:rPr>
        <w:t xml:space="preserve">  </w:t>
      </w:r>
    </w:p>
    <w:p w14:paraId="2D8294FD" w14:textId="77777777" w:rsidR="005D1C06" w:rsidRDefault="005D1C06" w:rsidP="007877BF">
      <w:pPr>
        <w:spacing w:line="360" w:lineRule="auto"/>
        <w:rPr>
          <w:rFonts w:ascii="Garamond" w:hAnsi="Garamond"/>
        </w:rPr>
      </w:pPr>
    </w:p>
    <w:p w14:paraId="406B5751" w14:textId="20DEB1DE" w:rsidR="0098753D" w:rsidRDefault="00013414" w:rsidP="007877BF">
      <w:pPr>
        <w:spacing w:line="360" w:lineRule="auto"/>
        <w:rPr>
          <w:rFonts w:ascii="Garamond" w:hAnsi="Garamond"/>
        </w:rPr>
      </w:pPr>
      <w:r>
        <w:rPr>
          <w:rFonts w:ascii="Garamond" w:hAnsi="Garamond"/>
        </w:rPr>
        <w:t xml:space="preserve">A </w:t>
      </w:r>
      <w:r w:rsidR="00013DFA">
        <w:rPr>
          <w:rFonts w:ascii="Garamond" w:hAnsi="Garamond"/>
        </w:rPr>
        <w:t xml:space="preserve">question that has arisen in the determination of planning applications for </w:t>
      </w:r>
      <w:r w:rsidR="00A530B5">
        <w:rPr>
          <w:rFonts w:ascii="Garamond" w:hAnsi="Garamond"/>
        </w:rPr>
        <w:t>fracking</w:t>
      </w:r>
      <w:r w:rsidR="00013DFA">
        <w:rPr>
          <w:rFonts w:ascii="Garamond" w:hAnsi="Garamond"/>
        </w:rPr>
        <w:t xml:space="preserve"> operations</w:t>
      </w:r>
      <w:r w:rsidR="008E3DAE">
        <w:rPr>
          <w:rFonts w:ascii="Garamond" w:hAnsi="Garamond"/>
        </w:rPr>
        <w:t>,</w:t>
      </w:r>
      <w:r w:rsidR="00013DFA">
        <w:rPr>
          <w:rFonts w:ascii="Garamond" w:hAnsi="Garamond"/>
        </w:rPr>
        <w:t xml:space="preserve"> is how to apply development plans </w:t>
      </w:r>
      <w:r w:rsidR="008E3DAE">
        <w:rPr>
          <w:rFonts w:ascii="Garamond" w:hAnsi="Garamond"/>
        </w:rPr>
        <w:t>which</w:t>
      </w:r>
      <w:r w:rsidR="00A530B5">
        <w:rPr>
          <w:rFonts w:ascii="Garamond" w:hAnsi="Garamond"/>
        </w:rPr>
        <w:t xml:space="preserve"> include</w:t>
      </w:r>
      <w:r w:rsidR="007E29E6">
        <w:rPr>
          <w:rFonts w:ascii="Garamond" w:hAnsi="Garamond"/>
        </w:rPr>
        <w:t xml:space="preserve"> </w:t>
      </w:r>
      <w:r w:rsidR="008E3DAE">
        <w:rPr>
          <w:rFonts w:ascii="Garamond" w:hAnsi="Garamond"/>
        </w:rPr>
        <w:t>policies on mineral resources but which</w:t>
      </w:r>
      <w:r w:rsidR="00A530B5">
        <w:rPr>
          <w:rFonts w:ascii="Garamond" w:hAnsi="Garamond"/>
        </w:rPr>
        <w:t xml:space="preserve"> </w:t>
      </w:r>
      <w:r w:rsidR="00013DFA">
        <w:rPr>
          <w:rFonts w:ascii="Garamond" w:hAnsi="Garamond"/>
        </w:rPr>
        <w:t xml:space="preserve">make no specific provision </w:t>
      </w:r>
      <w:r w:rsidR="00A530B5">
        <w:rPr>
          <w:rFonts w:ascii="Garamond" w:hAnsi="Garamond"/>
        </w:rPr>
        <w:t>for the development of shale gas.</w:t>
      </w:r>
      <w:r w:rsidR="00F52366">
        <w:rPr>
          <w:rFonts w:ascii="Garamond" w:hAnsi="Garamond"/>
        </w:rPr>
        <w:t xml:space="preserve">  The issue in </w:t>
      </w:r>
      <w:r w:rsidR="00E45DA3">
        <w:rPr>
          <w:rFonts w:ascii="Garamond" w:hAnsi="Garamond"/>
        </w:rPr>
        <w:t>such</w:t>
      </w:r>
      <w:r w:rsidR="00F52366">
        <w:rPr>
          <w:rFonts w:ascii="Garamond" w:hAnsi="Garamond"/>
        </w:rPr>
        <w:t xml:space="preserve"> circumstances</w:t>
      </w:r>
      <w:r w:rsidR="00D64C6D">
        <w:rPr>
          <w:rFonts w:ascii="Garamond" w:hAnsi="Garamond"/>
        </w:rPr>
        <w:t xml:space="preserve"> is whether</w:t>
      </w:r>
      <w:r w:rsidR="00F52366">
        <w:rPr>
          <w:rFonts w:ascii="Garamond" w:hAnsi="Garamond"/>
        </w:rPr>
        <w:t xml:space="preserve"> the development plan </w:t>
      </w:r>
      <w:r w:rsidR="00351765">
        <w:rPr>
          <w:rFonts w:ascii="Garamond" w:hAnsi="Garamond"/>
        </w:rPr>
        <w:t xml:space="preserve">is </w:t>
      </w:r>
      <w:r w:rsidR="00CD1933">
        <w:rPr>
          <w:rFonts w:ascii="Garamond" w:hAnsi="Garamond"/>
        </w:rPr>
        <w:t>to be regarded as</w:t>
      </w:r>
      <w:r w:rsidR="001613ED">
        <w:rPr>
          <w:rFonts w:ascii="Garamond" w:hAnsi="Garamond"/>
        </w:rPr>
        <w:t xml:space="preserve"> ‘absent’</w:t>
      </w:r>
      <w:r w:rsidR="009922CA">
        <w:rPr>
          <w:rFonts w:ascii="Garamond" w:hAnsi="Garamond"/>
        </w:rPr>
        <w:t>,</w:t>
      </w:r>
      <w:r w:rsidR="001613ED">
        <w:rPr>
          <w:rFonts w:ascii="Garamond" w:hAnsi="Garamond"/>
        </w:rPr>
        <w:t xml:space="preserve"> ‘silent’</w:t>
      </w:r>
      <w:r w:rsidR="005629CD">
        <w:rPr>
          <w:rFonts w:ascii="Garamond" w:hAnsi="Garamond"/>
        </w:rPr>
        <w:t xml:space="preserve"> (the terminology used in previous planning policy</w:t>
      </w:r>
      <w:r w:rsidR="005629CD">
        <w:rPr>
          <w:rStyle w:val="EndnoteReference"/>
          <w:rFonts w:ascii="Garamond" w:hAnsi="Garamond"/>
        </w:rPr>
        <w:endnoteReference w:id="64"/>
      </w:r>
      <w:r w:rsidR="005629CD">
        <w:rPr>
          <w:rFonts w:ascii="Garamond" w:hAnsi="Garamond"/>
        </w:rPr>
        <w:t>)</w:t>
      </w:r>
      <w:r w:rsidR="001613ED">
        <w:rPr>
          <w:rFonts w:ascii="Garamond" w:hAnsi="Garamond"/>
        </w:rPr>
        <w:t xml:space="preserve"> or ‘out-of-date’</w:t>
      </w:r>
      <w:r w:rsidR="00CD1933">
        <w:rPr>
          <w:rFonts w:ascii="Garamond" w:hAnsi="Garamond"/>
        </w:rPr>
        <w:t>.</w:t>
      </w:r>
      <w:r w:rsidR="001613ED">
        <w:rPr>
          <w:rStyle w:val="EndnoteReference"/>
          <w:rFonts w:ascii="Garamond" w:hAnsi="Garamond"/>
        </w:rPr>
        <w:endnoteReference w:id="65"/>
      </w:r>
      <w:r w:rsidR="00CD1933">
        <w:rPr>
          <w:rFonts w:ascii="Garamond" w:hAnsi="Garamond"/>
        </w:rPr>
        <w:t xml:space="preserve">  If so, </w:t>
      </w:r>
      <w:r w:rsidR="005A52AD">
        <w:rPr>
          <w:rFonts w:ascii="Garamond" w:hAnsi="Garamond"/>
        </w:rPr>
        <w:t>a weighted balance</w:t>
      </w:r>
      <w:r w:rsidR="00F26AC9">
        <w:rPr>
          <w:rFonts w:ascii="Garamond" w:hAnsi="Garamond"/>
        </w:rPr>
        <w:t>, commonly referred to as a ‘tilted’ balance,</w:t>
      </w:r>
      <w:r w:rsidR="005A52AD">
        <w:rPr>
          <w:rFonts w:ascii="Garamond" w:hAnsi="Garamond"/>
        </w:rPr>
        <w:t xml:space="preserve"> applies, </w:t>
      </w:r>
      <w:r w:rsidR="00F26AC9">
        <w:rPr>
          <w:rFonts w:ascii="Garamond" w:hAnsi="Garamond"/>
        </w:rPr>
        <w:t>whereby</w:t>
      </w:r>
      <w:r w:rsidR="005A52AD">
        <w:rPr>
          <w:rFonts w:ascii="Garamond" w:hAnsi="Garamond"/>
        </w:rPr>
        <w:t xml:space="preserve"> </w:t>
      </w:r>
      <w:r w:rsidR="00516ABD">
        <w:rPr>
          <w:rFonts w:ascii="Garamond" w:hAnsi="Garamond"/>
        </w:rPr>
        <w:t>development which is sustainable</w:t>
      </w:r>
      <w:r w:rsidR="004562A8">
        <w:rPr>
          <w:rFonts w:ascii="Garamond" w:hAnsi="Garamond"/>
        </w:rPr>
        <w:t xml:space="preserve"> </w:t>
      </w:r>
      <w:r w:rsidR="003779F4">
        <w:rPr>
          <w:rFonts w:ascii="Garamond" w:hAnsi="Garamond"/>
        </w:rPr>
        <w:t>should</w:t>
      </w:r>
      <w:r w:rsidR="00CD1933">
        <w:rPr>
          <w:rFonts w:ascii="Garamond" w:hAnsi="Garamond"/>
        </w:rPr>
        <w:t xml:space="preserve"> be approved </w:t>
      </w:r>
      <w:r w:rsidR="00516ABD">
        <w:rPr>
          <w:rFonts w:ascii="Garamond" w:hAnsi="Garamond"/>
        </w:rPr>
        <w:t xml:space="preserve">without delay </w:t>
      </w:r>
      <w:r w:rsidR="004562A8">
        <w:rPr>
          <w:rFonts w:ascii="Garamond" w:hAnsi="Garamond"/>
        </w:rPr>
        <w:t>unless</w:t>
      </w:r>
      <w:r w:rsidR="00211974">
        <w:rPr>
          <w:rFonts w:ascii="Garamond" w:hAnsi="Garamond"/>
        </w:rPr>
        <w:t xml:space="preserve">, </w:t>
      </w:r>
      <w:r w:rsidR="00211974" w:rsidRPr="00211974">
        <w:rPr>
          <w:rFonts w:ascii="Garamond" w:hAnsi="Garamond"/>
          <w:i/>
          <w:iCs/>
        </w:rPr>
        <w:t>inter alia</w:t>
      </w:r>
      <w:r w:rsidR="00211974">
        <w:rPr>
          <w:rFonts w:ascii="Garamond" w:hAnsi="Garamond"/>
        </w:rPr>
        <w:t>,</w:t>
      </w:r>
      <w:r w:rsidR="004562A8">
        <w:rPr>
          <w:rFonts w:ascii="Garamond" w:hAnsi="Garamond"/>
        </w:rPr>
        <w:t xml:space="preserve"> the adverse impacts of doing </w:t>
      </w:r>
      <w:r w:rsidR="00D3315E">
        <w:rPr>
          <w:rFonts w:ascii="Garamond" w:hAnsi="Garamond"/>
        </w:rPr>
        <w:t>so ‘</w:t>
      </w:r>
      <w:r w:rsidR="004562A8">
        <w:rPr>
          <w:rFonts w:ascii="Garamond" w:hAnsi="Garamond"/>
        </w:rPr>
        <w:t>significantly and demonstrably</w:t>
      </w:r>
      <w:r w:rsidR="00D3315E">
        <w:rPr>
          <w:rFonts w:ascii="Garamond" w:hAnsi="Garamond"/>
        </w:rPr>
        <w:t>’</w:t>
      </w:r>
      <w:r w:rsidR="004562A8">
        <w:rPr>
          <w:rFonts w:ascii="Garamond" w:hAnsi="Garamond"/>
        </w:rPr>
        <w:t xml:space="preserve"> outweigh the benefits.</w:t>
      </w:r>
      <w:r w:rsidR="00DC46F8">
        <w:rPr>
          <w:rStyle w:val="EndnoteReference"/>
          <w:rFonts w:ascii="Garamond" w:hAnsi="Garamond"/>
        </w:rPr>
        <w:endnoteReference w:id="66"/>
      </w:r>
      <w:r w:rsidR="00B72166">
        <w:rPr>
          <w:rFonts w:ascii="Garamond" w:hAnsi="Garamond"/>
        </w:rPr>
        <w:t xml:space="preserve">  This is </w:t>
      </w:r>
      <w:r w:rsidR="00CE6100">
        <w:rPr>
          <w:rFonts w:ascii="Garamond" w:hAnsi="Garamond"/>
        </w:rPr>
        <w:t>in contrast to a</w:t>
      </w:r>
      <w:r w:rsidR="00B72166">
        <w:rPr>
          <w:rFonts w:ascii="Garamond" w:hAnsi="Garamond"/>
        </w:rPr>
        <w:t xml:space="preserve"> </w:t>
      </w:r>
      <w:r w:rsidR="00CE6100">
        <w:rPr>
          <w:rFonts w:ascii="Garamond" w:hAnsi="Garamond"/>
        </w:rPr>
        <w:t xml:space="preserve">standard balancing exercise, </w:t>
      </w:r>
      <w:r w:rsidR="00211974">
        <w:rPr>
          <w:rFonts w:ascii="Garamond" w:hAnsi="Garamond"/>
        </w:rPr>
        <w:t xml:space="preserve">which does not start from the same </w:t>
      </w:r>
      <w:r w:rsidR="00516ABD">
        <w:rPr>
          <w:rFonts w:ascii="Garamond" w:hAnsi="Garamond"/>
        </w:rPr>
        <w:t>presumption</w:t>
      </w:r>
      <w:r w:rsidR="00211974">
        <w:rPr>
          <w:rFonts w:ascii="Garamond" w:hAnsi="Garamond"/>
        </w:rPr>
        <w:t xml:space="preserve"> in favour of development.</w:t>
      </w:r>
    </w:p>
    <w:p w14:paraId="679F7ED4" w14:textId="77777777" w:rsidR="0098753D" w:rsidRDefault="0098753D" w:rsidP="007877BF">
      <w:pPr>
        <w:spacing w:line="360" w:lineRule="auto"/>
        <w:rPr>
          <w:rFonts w:ascii="Garamond" w:hAnsi="Garamond"/>
        </w:rPr>
      </w:pPr>
    </w:p>
    <w:p w14:paraId="0C20126A" w14:textId="3F20A49D" w:rsidR="00F010CD" w:rsidRDefault="008A09D4" w:rsidP="007877BF">
      <w:pPr>
        <w:spacing w:line="360" w:lineRule="auto"/>
        <w:rPr>
          <w:rFonts w:ascii="Garamond" w:hAnsi="Garamond"/>
        </w:rPr>
      </w:pPr>
      <w:r>
        <w:rPr>
          <w:rFonts w:ascii="Garamond" w:hAnsi="Garamond"/>
        </w:rPr>
        <w:t xml:space="preserve">Whether the tilted balance is triggered is a matter of planning judgment, not of legal reasoning, however the Courts have </w:t>
      </w:r>
      <w:r w:rsidR="009E2116">
        <w:rPr>
          <w:rFonts w:ascii="Garamond" w:hAnsi="Garamond"/>
        </w:rPr>
        <w:t>clarified</w:t>
      </w:r>
      <w:r>
        <w:rPr>
          <w:rFonts w:ascii="Garamond" w:hAnsi="Garamond"/>
        </w:rPr>
        <w:t xml:space="preserve"> how the triggers operate.</w:t>
      </w:r>
      <w:r w:rsidR="00A55A35">
        <w:rPr>
          <w:rFonts w:ascii="Garamond" w:hAnsi="Garamond"/>
        </w:rPr>
        <w:t xml:space="preserve">  For example, a development plan </w:t>
      </w:r>
      <w:r w:rsidR="00E64A39">
        <w:rPr>
          <w:rFonts w:ascii="Garamond" w:hAnsi="Garamond"/>
        </w:rPr>
        <w:t xml:space="preserve">that </w:t>
      </w:r>
      <w:r w:rsidR="00A55A35">
        <w:rPr>
          <w:rFonts w:ascii="Garamond" w:hAnsi="Garamond"/>
        </w:rPr>
        <w:t>lacks policies</w:t>
      </w:r>
      <w:r w:rsidR="00E64A39">
        <w:rPr>
          <w:rFonts w:ascii="Garamond" w:hAnsi="Garamond"/>
        </w:rPr>
        <w:t xml:space="preserve"> specifically targeted at the type of development under consideration (such as fracking) is not automatically rendered out of date.</w:t>
      </w:r>
      <w:r w:rsidR="00C4609A">
        <w:rPr>
          <w:rStyle w:val="EndnoteReference"/>
          <w:rFonts w:ascii="Garamond" w:hAnsi="Garamond"/>
        </w:rPr>
        <w:endnoteReference w:id="67"/>
      </w:r>
      <w:r w:rsidR="00E64A39">
        <w:rPr>
          <w:rFonts w:ascii="Garamond" w:hAnsi="Garamond"/>
        </w:rPr>
        <w:t xml:space="preserve">  Provided the policies of the development plan are </w:t>
      </w:r>
      <w:r w:rsidR="00C4609A">
        <w:rPr>
          <w:rFonts w:ascii="Garamond" w:hAnsi="Garamond"/>
        </w:rPr>
        <w:t>still</w:t>
      </w:r>
      <w:r w:rsidR="00E64A39">
        <w:rPr>
          <w:rFonts w:ascii="Garamond" w:hAnsi="Garamond"/>
        </w:rPr>
        <w:t xml:space="preserve"> ‘relevant’ to the decision to grant or refuse planning permission, the tilted balance will not apply.</w:t>
      </w:r>
      <w:r w:rsidR="00E64A39" w:rsidRPr="009460B7">
        <w:rPr>
          <w:rStyle w:val="EndnoteReference"/>
          <w:rFonts w:ascii="Garamond" w:hAnsi="Garamond"/>
        </w:rPr>
        <w:t xml:space="preserve"> </w:t>
      </w:r>
      <w:r w:rsidR="00E64A39">
        <w:rPr>
          <w:rStyle w:val="EndnoteReference"/>
          <w:rFonts w:ascii="Garamond" w:hAnsi="Garamond"/>
        </w:rPr>
        <w:endnoteReference w:id="68"/>
      </w:r>
      <w:r w:rsidR="005E0934">
        <w:rPr>
          <w:rFonts w:ascii="Garamond" w:hAnsi="Garamond"/>
        </w:rPr>
        <w:t xml:space="preserve">  </w:t>
      </w:r>
      <w:r w:rsidR="00447B7E">
        <w:rPr>
          <w:rFonts w:ascii="Garamond" w:hAnsi="Garamond"/>
        </w:rPr>
        <w:t>Thus, i</w:t>
      </w:r>
      <w:r w:rsidR="005E0934">
        <w:rPr>
          <w:rFonts w:ascii="Garamond" w:hAnsi="Garamond"/>
        </w:rPr>
        <w:t xml:space="preserve">n </w:t>
      </w:r>
      <w:r w:rsidR="00447B7E">
        <w:rPr>
          <w:rFonts w:ascii="Garamond" w:hAnsi="Garamond"/>
        </w:rPr>
        <w:t xml:space="preserve">a </w:t>
      </w:r>
      <w:r w:rsidR="005E0934">
        <w:rPr>
          <w:rFonts w:ascii="Garamond" w:hAnsi="Garamond"/>
        </w:rPr>
        <w:t xml:space="preserve">decision on fracking, </w:t>
      </w:r>
      <w:r w:rsidR="00447B7E">
        <w:rPr>
          <w:rFonts w:ascii="Garamond" w:hAnsi="Garamond"/>
        </w:rPr>
        <w:t xml:space="preserve">a </w:t>
      </w:r>
      <w:r w:rsidR="00417083">
        <w:rPr>
          <w:rFonts w:ascii="Garamond" w:hAnsi="Garamond"/>
        </w:rPr>
        <w:t xml:space="preserve">development plan </w:t>
      </w:r>
      <w:r w:rsidR="00447B7E">
        <w:rPr>
          <w:rFonts w:ascii="Garamond" w:hAnsi="Garamond"/>
        </w:rPr>
        <w:t>may be</w:t>
      </w:r>
      <w:r w:rsidR="00E867EE">
        <w:rPr>
          <w:rFonts w:ascii="Garamond" w:hAnsi="Garamond"/>
        </w:rPr>
        <w:t xml:space="preserve"> considered relevant where</w:t>
      </w:r>
      <w:r w:rsidR="00447B7E">
        <w:rPr>
          <w:rFonts w:ascii="Garamond" w:hAnsi="Garamond"/>
        </w:rPr>
        <w:t xml:space="preserve"> it</w:t>
      </w:r>
      <w:r w:rsidR="00E867EE">
        <w:rPr>
          <w:rFonts w:ascii="Garamond" w:hAnsi="Garamond"/>
        </w:rPr>
        <w:t xml:space="preserve"> include</w:t>
      </w:r>
      <w:r w:rsidR="00447B7E">
        <w:rPr>
          <w:rFonts w:ascii="Garamond" w:hAnsi="Garamond"/>
        </w:rPr>
        <w:t>s</w:t>
      </w:r>
      <w:r w:rsidR="00E867EE">
        <w:rPr>
          <w:rFonts w:ascii="Garamond" w:hAnsi="Garamond"/>
        </w:rPr>
        <w:t xml:space="preserve"> policies </w:t>
      </w:r>
      <w:r w:rsidR="00B72166">
        <w:rPr>
          <w:rFonts w:ascii="Garamond" w:hAnsi="Garamond"/>
        </w:rPr>
        <w:t xml:space="preserve">on </w:t>
      </w:r>
      <w:r w:rsidR="00E867EE">
        <w:rPr>
          <w:rFonts w:ascii="Garamond" w:hAnsi="Garamond"/>
        </w:rPr>
        <w:t>mineral res</w:t>
      </w:r>
      <w:r w:rsidR="00B72166">
        <w:rPr>
          <w:rFonts w:ascii="Garamond" w:hAnsi="Garamond"/>
        </w:rPr>
        <w:t>ources</w:t>
      </w:r>
      <w:r w:rsidR="00EA0A01">
        <w:rPr>
          <w:rFonts w:ascii="Garamond" w:hAnsi="Garamond"/>
        </w:rPr>
        <w:t xml:space="preserve"> and development management</w:t>
      </w:r>
      <w:r w:rsidR="00F42855">
        <w:rPr>
          <w:rFonts w:ascii="Garamond" w:hAnsi="Garamond"/>
        </w:rPr>
        <w:t xml:space="preserve"> </w:t>
      </w:r>
      <w:r w:rsidR="00B72166">
        <w:rPr>
          <w:rFonts w:ascii="Garamond" w:hAnsi="Garamond"/>
        </w:rPr>
        <w:t>generally</w:t>
      </w:r>
      <w:r w:rsidR="00E867EE">
        <w:rPr>
          <w:rFonts w:ascii="Garamond" w:hAnsi="Garamond"/>
        </w:rPr>
        <w:t>, which</w:t>
      </w:r>
      <w:r w:rsidR="00C4609A">
        <w:rPr>
          <w:rFonts w:ascii="Garamond" w:hAnsi="Garamond"/>
        </w:rPr>
        <w:t xml:space="preserve"> do not explicitly address shale gas or fracking </w:t>
      </w:r>
      <w:r w:rsidR="007D64DD">
        <w:rPr>
          <w:rFonts w:ascii="Garamond" w:hAnsi="Garamond"/>
        </w:rPr>
        <w:t xml:space="preserve">but which </w:t>
      </w:r>
      <w:r w:rsidR="00C4609A">
        <w:rPr>
          <w:rFonts w:ascii="Garamond" w:hAnsi="Garamond"/>
        </w:rPr>
        <w:t xml:space="preserve">nevertheless </w:t>
      </w:r>
      <w:r w:rsidR="00E867EE">
        <w:rPr>
          <w:rFonts w:ascii="Garamond" w:hAnsi="Garamond"/>
        </w:rPr>
        <w:t>have a real role to play in the determination of</w:t>
      </w:r>
      <w:r w:rsidR="007D64DD">
        <w:rPr>
          <w:rFonts w:ascii="Garamond" w:hAnsi="Garamond"/>
        </w:rPr>
        <w:t xml:space="preserve"> the</w:t>
      </w:r>
      <w:r w:rsidR="00C4609A">
        <w:rPr>
          <w:rFonts w:ascii="Garamond" w:hAnsi="Garamond"/>
        </w:rPr>
        <w:t xml:space="preserve"> </w:t>
      </w:r>
      <w:r w:rsidR="007D64DD">
        <w:rPr>
          <w:rFonts w:ascii="Garamond" w:hAnsi="Garamond"/>
        </w:rPr>
        <w:t>application.</w:t>
      </w:r>
      <w:r w:rsidR="005B403F">
        <w:rPr>
          <w:rStyle w:val="EndnoteReference"/>
          <w:rFonts w:ascii="Garamond" w:hAnsi="Garamond"/>
        </w:rPr>
        <w:endnoteReference w:id="69"/>
      </w:r>
      <w:r w:rsidR="00F42855">
        <w:rPr>
          <w:rFonts w:ascii="Garamond" w:hAnsi="Garamond"/>
        </w:rPr>
        <w:t xml:space="preserve">  Those </w:t>
      </w:r>
      <w:r w:rsidR="00CE6100">
        <w:rPr>
          <w:rFonts w:ascii="Garamond" w:hAnsi="Garamond"/>
        </w:rPr>
        <w:t xml:space="preserve">general policies can be seen as offering a future-proof framework </w:t>
      </w:r>
      <w:r w:rsidR="00F42855">
        <w:rPr>
          <w:rFonts w:ascii="Garamond" w:hAnsi="Garamond"/>
        </w:rPr>
        <w:t xml:space="preserve">to </w:t>
      </w:r>
      <w:r w:rsidR="00EA0A01">
        <w:rPr>
          <w:rFonts w:ascii="Garamond" w:hAnsi="Garamond"/>
        </w:rPr>
        <w:t>deal with</w:t>
      </w:r>
      <w:r w:rsidR="00F42855">
        <w:rPr>
          <w:rFonts w:ascii="Garamond" w:hAnsi="Garamond"/>
        </w:rPr>
        <w:t xml:space="preserve"> technological innovation not envisaged or planned at the time of their inception.  For example, it has been noted that </w:t>
      </w:r>
      <w:r w:rsidR="00F010CD">
        <w:rPr>
          <w:rFonts w:ascii="Garamond" w:hAnsi="Garamond"/>
        </w:rPr>
        <w:t>‘a</w:t>
      </w:r>
      <w:r w:rsidR="00F010CD" w:rsidRPr="00F010CD">
        <w:rPr>
          <w:rFonts w:ascii="Garamond" w:hAnsi="Garamond"/>
        </w:rPr>
        <w:t>lthough a local development document is intended to present as a coherent suite of policies, that objective is not inconsistent with the inclusion of some environmental policies being intended and designed to operate on a longer time scale than that which may be contemplated by the plan period</w:t>
      </w:r>
      <w:r w:rsidR="00F010CD">
        <w:rPr>
          <w:rFonts w:ascii="Garamond" w:hAnsi="Garamond"/>
        </w:rPr>
        <w:t>’</w:t>
      </w:r>
      <w:r w:rsidR="00F010CD" w:rsidRPr="00F010CD">
        <w:rPr>
          <w:rFonts w:ascii="Garamond" w:hAnsi="Garamond"/>
        </w:rPr>
        <w:t>.</w:t>
      </w:r>
      <w:r w:rsidR="002B6750">
        <w:rPr>
          <w:rStyle w:val="EndnoteReference"/>
          <w:rFonts w:ascii="Garamond" w:hAnsi="Garamond"/>
        </w:rPr>
        <w:endnoteReference w:id="70"/>
      </w:r>
      <w:r w:rsidR="00F42855">
        <w:rPr>
          <w:rFonts w:ascii="Garamond" w:hAnsi="Garamond"/>
        </w:rPr>
        <w:t xml:space="preserve">  </w:t>
      </w:r>
    </w:p>
    <w:p w14:paraId="7898836A" w14:textId="0DF678AA" w:rsidR="00F42855" w:rsidRDefault="00F42855" w:rsidP="007877BF">
      <w:pPr>
        <w:spacing w:line="360" w:lineRule="auto"/>
        <w:rPr>
          <w:rFonts w:ascii="Garamond" w:hAnsi="Garamond"/>
        </w:rPr>
      </w:pPr>
    </w:p>
    <w:p w14:paraId="78606FFD" w14:textId="290A6338" w:rsidR="00747EEC" w:rsidRDefault="00E4589D" w:rsidP="00F24D6C">
      <w:pPr>
        <w:spacing w:line="360" w:lineRule="auto"/>
        <w:rPr>
          <w:rFonts w:ascii="Garamond" w:hAnsi="Garamond"/>
        </w:rPr>
      </w:pPr>
      <w:r>
        <w:rPr>
          <w:rFonts w:ascii="Garamond" w:hAnsi="Garamond"/>
        </w:rPr>
        <w:t>There is a further point, which is that</w:t>
      </w:r>
      <w:r w:rsidR="00F10985">
        <w:rPr>
          <w:rFonts w:ascii="Garamond" w:hAnsi="Garamond"/>
        </w:rPr>
        <w:t xml:space="preserve"> </w:t>
      </w:r>
      <w:r w:rsidR="002B6361">
        <w:rPr>
          <w:rFonts w:ascii="Garamond" w:hAnsi="Garamond"/>
        </w:rPr>
        <w:t>judgments over the</w:t>
      </w:r>
      <w:r w:rsidR="00CA4271">
        <w:rPr>
          <w:rFonts w:ascii="Garamond" w:hAnsi="Garamond"/>
        </w:rPr>
        <w:t xml:space="preserve"> </w:t>
      </w:r>
      <w:r w:rsidR="002B6361">
        <w:rPr>
          <w:rFonts w:ascii="Garamond" w:hAnsi="Garamond"/>
        </w:rPr>
        <w:t>relevance of a local development plan</w:t>
      </w:r>
      <w:r w:rsidR="00A05184">
        <w:rPr>
          <w:rFonts w:ascii="Garamond" w:hAnsi="Garamond"/>
        </w:rPr>
        <w:t xml:space="preserve">, through </w:t>
      </w:r>
      <w:r w:rsidR="00CA4271">
        <w:rPr>
          <w:rFonts w:ascii="Garamond" w:hAnsi="Garamond"/>
        </w:rPr>
        <w:t xml:space="preserve">its </w:t>
      </w:r>
      <w:r w:rsidR="00A05184">
        <w:rPr>
          <w:rFonts w:ascii="Garamond" w:hAnsi="Garamond"/>
        </w:rPr>
        <w:t>classification as in-date or out-of-dat</w:t>
      </w:r>
      <w:r w:rsidR="00CA4271">
        <w:rPr>
          <w:rFonts w:ascii="Garamond" w:hAnsi="Garamond"/>
        </w:rPr>
        <w:t>e</w:t>
      </w:r>
      <w:r w:rsidR="00A05184">
        <w:rPr>
          <w:rFonts w:ascii="Garamond" w:hAnsi="Garamond"/>
        </w:rPr>
        <w:t>,</w:t>
      </w:r>
      <w:r w:rsidR="00413C6A">
        <w:rPr>
          <w:rFonts w:ascii="Garamond" w:hAnsi="Garamond"/>
        </w:rPr>
        <w:t xml:space="preserve"> for instance,</w:t>
      </w:r>
      <w:r w:rsidR="002B6361">
        <w:rPr>
          <w:rFonts w:ascii="Garamond" w:hAnsi="Garamond"/>
        </w:rPr>
        <w:t xml:space="preserve"> </w:t>
      </w:r>
      <w:r w:rsidR="00A05184">
        <w:rPr>
          <w:rFonts w:ascii="Garamond" w:hAnsi="Garamond"/>
        </w:rPr>
        <w:t xml:space="preserve">shape how the future is ushered </w:t>
      </w:r>
      <w:r w:rsidR="00A05184">
        <w:rPr>
          <w:rFonts w:ascii="Garamond" w:hAnsi="Garamond"/>
        </w:rPr>
        <w:lastRenderedPageBreak/>
        <w:t>into the present</w:t>
      </w:r>
      <w:r w:rsidR="00DC74EC">
        <w:rPr>
          <w:rFonts w:ascii="Garamond" w:hAnsi="Garamond"/>
        </w:rPr>
        <w:t xml:space="preserve">.  </w:t>
      </w:r>
      <w:r w:rsidR="00211974">
        <w:rPr>
          <w:rFonts w:ascii="Garamond" w:hAnsi="Garamond"/>
        </w:rPr>
        <w:t>Such</w:t>
      </w:r>
      <w:r w:rsidR="00DC74EC">
        <w:rPr>
          <w:rFonts w:ascii="Garamond" w:hAnsi="Garamond"/>
        </w:rPr>
        <w:t xml:space="preserve"> classificat</w:t>
      </w:r>
      <w:r w:rsidR="003B5A79">
        <w:rPr>
          <w:rFonts w:ascii="Garamond" w:hAnsi="Garamond"/>
        </w:rPr>
        <w:t>ory practices</w:t>
      </w:r>
      <w:r w:rsidR="00DC74EC">
        <w:rPr>
          <w:rFonts w:ascii="Garamond" w:hAnsi="Garamond"/>
        </w:rPr>
        <w:t xml:space="preserve"> determine whether and with what consequen</w:t>
      </w:r>
      <w:r w:rsidR="00DB6DA9">
        <w:rPr>
          <w:rFonts w:ascii="Garamond" w:hAnsi="Garamond"/>
        </w:rPr>
        <w:t>ce future risks and benefits are assessed against each other</w:t>
      </w:r>
      <w:r w:rsidR="00DC74EC">
        <w:rPr>
          <w:rFonts w:ascii="Garamond" w:hAnsi="Garamond"/>
        </w:rPr>
        <w:t xml:space="preserve">, through the </w:t>
      </w:r>
      <w:r w:rsidR="001811DC">
        <w:rPr>
          <w:rFonts w:ascii="Garamond" w:hAnsi="Garamond"/>
        </w:rPr>
        <w:t>application</w:t>
      </w:r>
      <w:r w:rsidR="00DC74EC">
        <w:rPr>
          <w:rFonts w:ascii="Garamond" w:hAnsi="Garamond"/>
        </w:rPr>
        <w:t xml:space="preserve"> of either </w:t>
      </w:r>
      <w:r w:rsidR="000956B2">
        <w:rPr>
          <w:rFonts w:ascii="Garamond" w:hAnsi="Garamond"/>
        </w:rPr>
        <w:t>a</w:t>
      </w:r>
      <w:r w:rsidR="00E71DD0">
        <w:rPr>
          <w:rFonts w:ascii="Garamond" w:hAnsi="Garamond"/>
        </w:rPr>
        <w:t xml:space="preserve"> standard or tilted balance.</w:t>
      </w:r>
      <w:r w:rsidR="00AC6478">
        <w:rPr>
          <w:rFonts w:ascii="Garamond" w:hAnsi="Garamond"/>
        </w:rPr>
        <w:t xml:space="preserve">  These different future-oriented logics</w:t>
      </w:r>
      <w:r w:rsidR="00DC234E">
        <w:rPr>
          <w:rFonts w:ascii="Garamond" w:hAnsi="Garamond"/>
        </w:rPr>
        <w:t xml:space="preserve"> operate with powerful performative force to</w:t>
      </w:r>
      <w:r w:rsidR="00AC6478">
        <w:rPr>
          <w:rFonts w:ascii="Garamond" w:hAnsi="Garamond"/>
        </w:rPr>
        <w:t xml:space="preserve"> organise how planning decisions are made and </w:t>
      </w:r>
      <w:r w:rsidR="009D2B89">
        <w:rPr>
          <w:rFonts w:ascii="Garamond" w:hAnsi="Garamond"/>
        </w:rPr>
        <w:t>reasoned</w:t>
      </w:r>
      <w:r w:rsidR="00DC234E">
        <w:rPr>
          <w:rFonts w:ascii="Garamond" w:hAnsi="Garamond"/>
        </w:rPr>
        <w:t xml:space="preserve">; </w:t>
      </w:r>
      <w:r w:rsidR="00AC6478">
        <w:rPr>
          <w:rFonts w:ascii="Garamond" w:hAnsi="Garamond"/>
        </w:rPr>
        <w:t>they govern</w:t>
      </w:r>
      <w:r w:rsidR="00154A9F">
        <w:rPr>
          <w:rFonts w:ascii="Garamond" w:hAnsi="Garamond"/>
        </w:rPr>
        <w:t xml:space="preserve"> the </w:t>
      </w:r>
      <w:r w:rsidR="009D2B89">
        <w:rPr>
          <w:rFonts w:ascii="Garamond" w:hAnsi="Garamond"/>
        </w:rPr>
        <w:t>‘</w:t>
      </w:r>
      <w:r w:rsidR="00154A9F">
        <w:rPr>
          <w:rFonts w:ascii="Garamond" w:hAnsi="Garamond"/>
        </w:rPr>
        <w:t>knowledge moves’</w:t>
      </w:r>
      <w:r w:rsidR="00211974">
        <w:rPr>
          <w:rStyle w:val="EndnoteReference"/>
          <w:rFonts w:ascii="Garamond" w:hAnsi="Garamond"/>
        </w:rPr>
        <w:endnoteReference w:id="71"/>
      </w:r>
      <w:r w:rsidR="00154A9F">
        <w:rPr>
          <w:rFonts w:ascii="Garamond" w:hAnsi="Garamond"/>
        </w:rPr>
        <w:t xml:space="preserve"> entailed in </w:t>
      </w:r>
      <w:r w:rsidR="00BF186D" w:rsidRPr="00D761B5">
        <w:rPr>
          <w:rFonts w:ascii="Garamond" w:hAnsi="Garamond"/>
          <w:highlight w:val="yellow"/>
        </w:rPr>
        <w:t>[…INSERT</w:t>
      </w:r>
      <w:r w:rsidR="00ED63EE" w:rsidRPr="00D761B5">
        <w:rPr>
          <w:rFonts w:ascii="Garamond" w:hAnsi="Garamond"/>
          <w:highlight w:val="yellow"/>
        </w:rPr>
        <w:t>—HELP</w:t>
      </w:r>
      <w:r w:rsidR="00ED63EE">
        <w:rPr>
          <w:rFonts w:ascii="Garamond" w:hAnsi="Garamond"/>
        </w:rPr>
        <w:t>!</w:t>
      </w:r>
      <w:r w:rsidR="00BF186D">
        <w:rPr>
          <w:rFonts w:ascii="Garamond" w:hAnsi="Garamond"/>
        </w:rPr>
        <w:t>]</w:t>
      </w:r>
      <w:r w:rsidR="00DC234E">
        <w:rPr>
          <w:rFonts w:ascii="Garamond" w:hAnsi="Garamond"/>
        </w:rPr>
        <w:t>; they</w:t>
      </w:r>
      <w:r w:rsidR="00D41FC4">
        <w:rPr>
          <w:rFonts w:ascii="Garamond" w:hAnsi="Garamond"/>
        </w:rPr>
        <w:t xml:space="preserve"> </w:t>
      </w:r>
      <w:r w:rsidR="009D2B89">
        <w:rPr>
          <w:rFonts w:ascii="Garamond" w:hAnsi="Garamond"/>
        </w:rPr>
        <w:t xml:space="preserve">set </w:t>
      </w:r>
      <w:r w:rsidR="00AB6069">
        <w:rPr>
          <w:rFonts w:ascii="Garamond" w:hAnsi="Garamond"/>
        </w:rPr>
        <w:t xml:space="preserve">the </w:t>
      </w:r>
      <w:r w:rsidR="009D2B89">
        <w:rPr>
          <w:rFonts w:ascii="Garamond" w:hAnsi="Garamond"/>
        </w:rPr>
        <w:t>threshold for</w:t>
      </w:r>
      <w:r w:rsidR="00AB6069">
        <w:rPr>
          <w:rFonts w:ascii="Garamond" w:hAnsi="Garamond"/>
        </w:rPr>
        <w:t xml:space="preserve"> tip</w:t>
      </w:r>
      <w:r w:rsidR="009D2B89">
        <w:rPr>
          <w:rFonts w:ascii="Garamond" w:hAnsi="Garamond"/>
        </w:rPr>
        <w:t>ping</w:t>
      </w:r>
      <w:r w:rsidR="00AB6069">
        <w:rPr>
          <w:rFonts w:ascii="Garamond" w:hAnsi="Garamond"/>
        </w:rPr>
        <w:t xml:space="preserve"> the balance against approval</w:t>
      </w:r>
      <w:r w:rsidR="009D2B89">
        <w:rPr>
          <w:rFonts w:ascii="Garamond" w:hAnsi="Garamond"/>
        </w:rPr>
        <w:t xml:space="preserve"> (e.g. where adverse impacts that ‘significantly and demonstrably’ outweigh the benefits)</w:t>
      </w:r>
      <w:r w:rsidR="008961BF">
        <w:rPr>
          <w:rFonts w:ascii="Garamond" w:hAnsi="Garamond"/>
        </w:rPr>
        <w:t>; and they influence the forms of reasoning that decision-makers offer</w:t>
      </w:r>
      <w:r w:rsidR="00F26AC9">
        <w:rPr>
          <w:rFonts w:ascii="Garamond" w:hAnsi="Garamond"/>
        </w:rPr>
        <w:t>.  In this regard, the future</w:t>
      </w:r>
      <w:r w:rsidR="00DC234E">
        <w:rPr>
          <w:rFonts w:ascii="Garamond" w:hAnsi="Garamond"/>
        </w:rPr>
        <w:t xml:space="preserve"> </w:t>
      </w:r>
      <w:r w:rsidR="00F26AC9">
        <w:rPr>
          <w:rFonts w:ascii="Garamond" w:hAnsi="Garamond"/>
        </w:rPr>
        <w:t>enter</w:t>
      </w:r>
      <w:r w:rsidR="00513B4B">
        <w:rPr>
          <w:rFonts w:ascii="Garamond" w:hAnsi="Garamond"/>
        </w:rPr>
        <w:t>s</w:t>
      </w:r>
      <w:r w:rsidR="00F26AC9">
        <w:rPr>
          <w:rFonts w:ascii="Garamond" w:hAnsi="Garamond"/>
        </w:rPr>
        <w:t xml:space="preserve"> the present as an organising epistemology</w:t>
      </w:r>
      <w:r w:rsidR="00513B4B">
        <w:rPr>
          <w:rFonts w:ascii="Garamond" w:hAnsi="Garamond"/>
        </w:rPr>
        <w:t>,</w:t>
      </w:r>
      <w:r w:rsidR="004A2EBE">
        <w:rPr>
          <w:rFonts w:ascii="Garamond" w:hAnsi="Garamond"/>
        </w:rPr>
        <w:t xml:space="preserve"> or ‘epistemological ordering frame’,</w:t>
      </w:r>
      <w:r w:rsidR="004A2EBE">
        <w:rPr>
          <w:rStyle w:val="EndnoteReference"/>
          <w:rFonts w:ascii="Garamond" w:hAnsi="Garamond"/>
        </w:rPr>
        <w:endnoteReference w:id="72"/>
      </w:r>
      <w:r w:rsidR="002E65A0">
        <w:rPr>
          <w:rFonts w:ascii="Garamond" w:hAnsi="Garamond"/>
        </w:rPr>
        <w:t xml:space="preserve"> </w:t>
      </w:r>
      <w:r w:rsidR="00513B4B">
        <w:rPr>
          <w:rFonts w:ascii="Garamond" w:hAnsi="Garamond"/>
        </w:rPr>
        <w:t xml:space="preserve">constraining or enabling </w:t>
      </w:r>
      <w:r w:rsidR="00F24D6C">
        <w:rPr>
          <w:rFonts w:ascii="Garamond" w:hAnsi="Garamond"/>
        </w:rPr>
        <w:t>certain</w:t>
      </w:r>
      <w:r w:rsidR="00513B4B">
        <w:rPr>
          <w:rFonts w:ascii="Garamond" w:hAnsi="Garamond"/>
        </w:rPr>
        <w:t xml:space="preserve"> ways of </w:t>
      </w:r>
      <w:r w:rsidR="002E65A0">
        <w:rPr>
          <w:rFonts w:ascii="Garamond" w:hAnsi="Garamond"/>
        </w:rPr>
        <w:t xml:space="preserve">imagining, </w:t>
      </w:r>
      <w:r w:rsidR="00E36212">
        <w:rPr>
          <w:rFonts w:ascii="Garamond" w:hAnsi="Garamond"/>
        </w:rPr>
        <w:t>projecting</w:t>
      </w:r>
      <w:r w:rsidR="000E45F6">
        <w:rPr>
          <w:rFonts w:ascii="Garamond" w:hAnsi="Garamond"/>
        </w:rPr>
        <w:t xml:space="preserve"> and </w:t>
      </w:r>
      <w:r w:rsidR="002E65A0">
        <w:rPr>
          <w:rFonts w:ascii="Garamond" w:hAnsi="Garamond"/>
        </w:rPr>
        <w:t>acting</w:t>
      </w:r>
      <w:r w:rsidR="000E45F6">
        <w:rPr>
          <w:rFonts w:ascii="Garamond" w:hAnsi="Garamond"/>
        </w:rPr>
        <w:t xml:space="preserve"> ahead of time.</w:t>
      </w:r>
      <w:r w:rsidR="000E45F6">
        <w:rPr>
          <w:rStyle w:val="EndnoteReference"/>
          <w:rFonts w:ascii="Garamond" w:hAnsi="Garamond"/>
        </w:rPr>
        <w:endnoteReference w:id="73"/>
      </w:r>
      <w:r w:rsidR="00F97F62">
        <w:rPr>
          <w:rFonts w:ascii="Garamond" w:hAnsi="Garamond"/>
        </w:rPr>
        <w:t xml:space="preserve">  </w:t>
      </w:r>
      <w:r w:rsidR="0016314F">
        <w:rPr>
          <w:rFonts w:ascii="Garamond" w:hAnsi="Garamond"/>
        </w:rPr>
        <w:t xml:space="preserve">This opens up to investigation an array of questions about </w:t>
      </w:r>
      <w:r w:rsidR="002E65A0">
        <w:rPr>
          <w:rFonts w:ascii="Garamond" w:hAnsi="Garamond"/>
        </w:rPr>
        <w:t xml:space="preserve">the </w:t>
      </w:r>
      <w:r w:rsidR="00493CA0">
        <w:rPr>
          <w:rFonts w:ascii="Garamond" w:hAnsi="Garamond"/>
        </w:rPr>
        <w:t>contingent</w:t>
      </w:r>
      <w:r w:rsidR="00E519A5">
        <w:rPr>
          <w:rFonts w:ascii="Garamond" w:hAnsi="Garamond"/>
        </w:rPr>
        <w:t xml:space="preserve"> interpretive</w:t>
      </w:r>
      <w:r w:rsidR="00493CA0">
        <w:rPr>
          <w:rFonts w:ascii="Garamond" w:hAnsi="Garamond"/>
        </w:rPr>
        <w:t xml:space="preserve"> </w:t>
      </w:r>
      <w:r w:rsidR="0081697B">
        <w:rPr>
          <w:rFonts w:ascii="Garamond" w:hAnsi="Garamond"/>
        </w:rPr>
        <w:t>processes</w:t>
      </w:r>
      <w:r w:rsidR="000956B2">
        <w:rPr>
          <w:rFonts w:ascii="Garamond" w:hAnsi="Garamond"/>
        </w:rPr>
        <w:t xml:space="preserve"> </w:t>
      </w:r>
      <w:r w:rsidR="001906BF">
        <w:rPr>
          <w:rFonts w:ascii="Garamond" w:hAnsi="Garamond"/>
        </w:rPr>
        <w:t>(e.g. ‘relevance’) and pragmatic</w:t>
      </w:r>
      <w:r w:rsidR="000956B2">
        <w:rPr>
          <w:rFonts w:ascii="Garamond" w:hAnsi="Garamond"/>
        </w:rPr>
        <w:t xml:space="preserve"> steps</w:t>
      </w:r>
      <w:r w:rsidR="001906BF">
        <w:rPr>
          <w:rFonts w:ascii="Garamond" w:hAnsi="Garamond"/>
        </w:rPr>
        <w:t xml:space="preserve"> (e.g. </w:t>
      </w:r>
      <w:r w:rsidR="001E104B">
        <w:rPr>
          <w:rFonts w:ascii="Garamond" w:hAnsi="Garamond"/>
        </w:rPr>
        <w:t xml:space="preserve">the </w:t>
      </w:r>
      <w:r w:rsidR="00D41FC4">
        <w:rPr>
          <w:rFonts w:ascii="Garamond" w:hAnsi="Garamond"/>
        </w:rPr>
        <w:t>engagement</w:t>
      </w:r>
      <w:r w:rsidR="001E104B">
        <w:rPr>
          <w:rFonts w:ascii="Garamond" w:hAnsi="Garamond"/>
        </w:rPr>
        <w:t xml:space="preserve"> or </w:t>
      </w:r>
      <w:r w:rsidR="00D41FC4">
        <w:rPr>
          <w:rFonts w:ascii="Garamond" w:hAnsi="Garamond"/>
        </w:rPr>
        <w:t>disengagement</w:t>
      </w:r>
      <w:r w:rsidR="001E104B">
        <w:rPr>
          <w:rFonts w:ascii="Garamond" w:hAnsi="Garamond"/>
        </w:rPr>
        <w:t xml:space="preserve"> of the ‘presumption in favour’</w:t>
      </w:r>
      <w:r w:rsidR="001906BF">
        <w:rPr>
          <w:rFonts w:ascii="Garamond" w:hAnsi="Garamond"/>
        </w:rPr>
        <w:t xml:space="preserve">) </w:t>
      </w:r>
      <w:r w:rsidR="00E56E96">
        <w:rPr>
          <w:rFonts w:ascii="Garamond" w:hAnsi="Garamond"/>
        </w:rPr>
        <w:t>through</w:t>
      </w:r>
      <w:r w:rsidR="002E65A0">
        <w:rPr>
          <w:rFonts w:ascii="Garamond" w:hAnsi="Garamond"/>
        </w:rPr>
        <w:t xml:space="preserve"> which </w:t>
      </w:r>
      <w:r w:rsidR="00E36212">
        <w:rPr>
          <w:rFonts w:ascii="Garamond" w:hAnsi="Garamond"/>
        </w:rPr>
        <w:t xml:space="preserve">certain </w:t>
      </w:r>
      <w:r w:rsidR="00BF186D">
        <w:rPr>
          <w:rFonts w:ascii="Garamond" w:hAnsi="Garamond"/>
        </w:rPr>
        <w:t>representations</w:t>
      </w:r>
      <w:r w:rsidR="00E36212">
        <w:rPr>
          <w:rFonts w:ascii="Garamond" w:hAnsi="Garamond"/>
        </w:rPr>
        <w:t xml:space="preserve"> of the future </w:t>
      </w:r>
      <w:r w:rsidR="00BF186D">
        <w:rPr>
          <w:rFonts w:ascii="Garamond" w:hAnsi="Garamond"/>
        </w:rPr>
        <w:t>are</w:t>
      </w:r>
      <w:r w:rsidR="00837AF9">
        <w:rPr>
          <w:rFonts w:ascii="Garamond" w:hAnsi="Garamond"/>
        </w:rPr>
        <w:t xml:space="preserve"> </w:t>
      </w:r>
      <w:r w:rsidR="009C1EC6">
        <w:rPr>
          <w:rFonts w:ascii="Garamond" w:hAnsi="Garamond"/>
        </w:rPr>
        <w:t>made effective.</w:t>
      </w:r>
      <w:r w:rsidR="004F7FE5">
        <w:rPr>
          <w:rFonts w:ascii="Garamond" w:hAnsi="Garamond"/>
        </w:rPr>
        <w:t xml:space="preserve">  In particular, it </w:t>
      </w:r>
      <w:r w:rsidR="00AA139C">
        <w:rPr>
          <w:rFonts w:ascii="Garamond" w:hAnsi="Garamond"/>
        </w:rPr>
        <w:t>shows</w:t>
      </w:r>
      <w:r w:rsidR="004F7FE5">
        <w:rPr>
          <w:rFonts w:ascii="Garamond" w:hAnsi="Garamond"/>
        </w:rPr>
        <w:t xml:space="preserve"> the future not as a category of analysis so much as a category</w:t>
      </w:r>
      <w:r w:rsidR="00AA139C">
        <w:rPr>
          <w:rFonts w:ascii="Garamond" w:hAnsi="Garamond"/>
        </w:rPr>
        <w:t xml:space="preserve"> of practice</w:t>
      </w:r>
      <w:r w:rsidR="0081697B">
        <w:rPr>
          <w:rFonts w:ascii="Garamond" w:hAnsi="Garamond"/>
        </w:rPr>
        <w:t xml:space="preserve">, highlighting the need to account for the processes through which specific configurations of the future </w:t>
      </w:r>
      <w:r w:rsidR="00F375C0">
        <w:rPr>
          <w:rFonts w:ascii="Garamond" w:hAnsi="Garamond"/>
        </w:rPr>
        <w:t>are</w:t>
      </w:r>
      <w:r w:rsidR="00EE7812">
        <w:rPr>
          <w:rFonts w:ascii="Garamond" w:hAnsi="Garamond"/>
        </w:rPr>
        <w:t xml:space="preserve"> assembled</w:t>
      </w:r>
      <w:r w:rsidR="00166352">
        <w:rPr>
          <w:rFonts w:ascii="Garamond" w:hAnsi="Garamond"/>
        </w:rPr>
        <w:t xml:space="preserve"> or</w:t>
      </w:r>
      <w:r w:rsidR="00F375C0">
        <w:rPr>
          <w:rFonts w:ascii="Garamond" w:hAnsi="Garamond"/>
        </w:rPr>
        <w:t xml:space="preserve"> ‘held together’</w:t>
      </w:r>
      <w:r w:rsidR="004B6138">
        <w:rPr>
          <w:rFonts w:ascii="Garamond" w:hAnsi="Garamond"/>
        </w:rPr>
        <w:t>.</w:t>
      </w:r>
      <w:r w:rsidR="004B6138">
        <w:rPr>
          <w:rStyle w:val="EndnoteReference"/>
          <w:rFonts w:ascii="Garamond" w:hAnsi="Garamond"/>
        </w:rPr>
        <w:endnoteReference w:id="74"/>
      </w:r>
    </w:p>
    <w:p w14:paraId="7303249D" w14:textId="77777777" w:rsidR="0026387E" w:rsidRDefault="0026387E" w:rsidP="00F24D6C">
      <w:pPr>
        <w:spacing w:line="360" w:lineRule="auto"/>
        <w:rPr>
          <w:rFonts w:ascii="Garamond" w:hAnsi="Garamond"/>
        </w:rPr>
      </w:pPr>
    </w:p>
    <w:p w14:paraId="26868162" w14:textId="2EE28D19" w:rsidR="00926DD1" w:rsidRDefault="00AA139C" w:rsidP="00F24D6C">
      <w:pPr>
        <w:spacing w:line="360" w:lineRule="auto"/>
        <w:rPr>
          <w:rFonts w:ascii="Garamond" w:hAnsi="Garamond"/>
        </w:rPr>
      </w:pPr>
      <w:r>
        <w:rPr>
          <w:rFonts w:ascii="Garamond" w:hAnsi="Garamond"/>
        </w:rPr>
        <w:t>It is th</w:t>
      </w:r>
      <w:r w:rsidR="0026387E">
        <w:rPr>
          <w:rFonts w:ascii="Garamond" w:hAnsi="Garamond"/>
        </w:rPr>
        <w:t>ese</w:t>
      </w:r>
      <w:r w:rsidR="00FE5EA8">
        <w:rPr>
          <w:rFonts w:ascii="Garamond" w:hAnsi="Garamond"/>
        </w:rPr>
        <w:t xml:space="preserve"> </w:t>
      </w:r>
      <w:r>
        <w:rPr>
          <w:rFonts w:ascii="Garamond" w:hAnsi="Garamond"/>
        </w:rPr>
        <w:t xml:space="preserve">processual </w:t>
      </w:r>
      <w:r w:rsidR="0026387E">
        <w:rPr>
          <w:rFonts w:ascii="Garamond" w:hAnsi="Garamond"/>
        </w:rPr>
        <w:t>features of future-making –</w:t>
      </w:r>
      <w:r w:rsidR="00211017">
        <w:rPr>
          <w:rFonts w:ascii="Garamond" w:hAnsi="Garamond"/>
        </w:rPr>
        <w:t xml:space="preserve"> </w:t>
      </w:r>
      <w:r w:rsidR="007B7860">
        <w:rPr>
          <w:rFonts w:ascii="Garamond" w:hAnsi="Garamond"/>
        </w:rPr>
        <w:t xml:space="preserve">for instance, </w:t>
      </w:r>
      <w:r w:rsidR="00770DBD">
        <w:rPr>
          <w:rFonts w:ascii="Garamond" w:hAnsi="Garamond"/>
        </w:rPr>
        <w:t xml:space="preserve">the </w:t>
      </w:r>
      <w:r w:rsidR="00CC6CC5">
        <w:rPr>
          <w:rFonts w:ascii="Garamond" w:hAnsi="Garamond"/>
        </w:rPr>
        <w:t xml:space="preserve">sense-making practices and </w:t>
      </w:r>
      <w:r w:rsidR="00D60BC4">
        <w:rPr>
          <w:rFonts w:ascii="Garamond" w:hAnsi="Garamond"/>
        </w:rPr>
        <w:t xml:space="preserve">discursive resources </w:t>
      </w:r>
      <w:r w:rsidR="00CC6CC5">
        <w:rPr>
          <w:rFonts w:ascii="Garamond" w:hAnsi="Garamond"/>
        </w:rPr>
        <w:t>relied upon</w:t>
      </w:r>
      <w:r w:rsidR="00D60BC4">
        <w:rPr>
          <w:rFonts w:ascii="Garamond" w:hAnsi="Garamond"/>
        </w:rPr>
        <w:t xml:space="preserve"> in </w:t>
      </w:r>
      <w:r w:rsidR="00CC6CC5">
        <w:rPr>
          <w:rFonts w:ascii="Garamond" w:hAnsi="Garamond"/>
        </w:rPr>
        <w:t xml:space="preserve">applying </w:t>
      </w:r>
      <w:r w:rsidR="00770DBD">
        <w:rPr>
          <w:rFonts w:ascii="Garamond" w:hAnsi="Garamond"/>
        </w:rPr>
        <w:t xml:space="preserve">non-specific policies of a </w:t>
      </w:r>
      <w:r w:rsidR="00D60BC4">
        <w:rPr>
          <w:rFonts w:ascii="Garamond" w:hAnsi="Garamond"/>
        </w:rPr>
        <w:t xml:space="preserve">statutory </w:t>
      </w:r>
      <w:r w:rsidR="00770DBD">
        <w:rPr>
          <w:rFonts w:ascii="Garamond" w:hAnsi="Garamond"/>
        </w:rPr>
        <w:t xml:space="preserve">local development plan to </w:t>
      </w:r>
      <w:r w:rsidR="00DC01BE">
        <w:rPr>
          <w:rFonts w:ascii="Garamond" w:hAnsi="Garamond"/>
        </w:rPr>
        <w:t xml:space="preserve">proposals for </w:t>
      </w:r>
      <w:r w:rsidR="00770DBD">
        <w:rPr>
          <w:rFonts w:ascii="Garamond" w:hAnsi="Garamond"/>
        </w:rPr>
        <w:t xml:space="preserve">new </w:t>
      </w:r>
      <w:r w:rsidR="00DC01BE">
        <w:rPr>
          <w:rFonts w:ascii="Garamond" w:hAnsi="Garamond"/>
        </w:rPr>
        <w:t>technological developments</w:t>
      </w:r>
      <w:r w:rsidR="000842C1">
        <w:rPr>
          <w:rFonts w:ascii="Garamond" w:hAnsi="Garamond"/>
        </w:rPr>
        <w:t xml:space="preserve"> </w:t>
      </w:r>
      <w:r w:rsidR="00D60BC4">
        <w:rPr>
          <w:rFonts w:ascii="Garamond" w:hAnsi="Garamond"/>
        </w:rPr>
        <w:t xml:space="preserve">– </w:t>
      </w:r>
      <w:r w:rsidR="0067475E">
        <w:rPr>
          <w:rFonts w:ascii="Garamond" w:hAnsi="Garamond"/>
        </w:rPr>
        <w:t xml:space="preserve">that a futurescapes </w:t>
      </w:r>
      <w:r w:rsidR="00CD7E0B">
        <w:rPr>
          <w:rFonts w:ascii="Garamond" w:hAnsi="Garamond"/>
        </w:rPr>
        <w:t>approach</w:t>
      </w:r>
      <w:r w:rsidR="0067475E">
        <w:rPr>
          <w:rFonts w:ascii="Garamond" w:hAnsi="Garamond"/>
        </w:rPr>
        <w:t xml:space="preserve"> takes as its </w:t>
      </w:r>
      <w:r w:rsidR="005B2EA6">
        <w:rPr>
          <w:rFonts w:ascii="Garamond" w:hAnsi="Garamond"/>
        </w:rPr>
        <w:t>starting point</w:t>
      </w:r>
      <w:r w:rsidR="00FE5EA8">
        <w:rPr>
          <w:rFonts w:ascii="Garamond" w:hAnsi="Garamond"/>
        </w:rPr>
        <w:t>.</w:t>
      </w:r>
      <w:r w:rsidR="005B2EA6">
        <w:rPr>
          <w:rFonts w:ascii="Garamond" w:hAnsi="Garamond"/>
        </w:rPr>
        <w:t xml:space="preserve">  </w:t>
      </w:r>
      <w:r w:rsidR="007B5292">
        <w:rPr>
          <w:rFonts w:ascii="Garamond" w:hAnsi="Garamond"/>
        </w:rPr>
        <w:t>The approach</w:t>
      </w:r>
      <w:r w:rsidR="005B2EA6">
        <w:rPr>
          <w:rFonts w:ascii="Garamond" w:hAnsi="Garamond"/>
        </w:rPr>
        <w:t xml:space="preserve"> is less concerned with what we ‘know’ as the future</w:t>
      </w:r>
      <w:r w:rsidR="007F537A">
        <w:rPr>
          <w:rFonts w:ascii="Garamond" w:hAnsi="Garamond"/>
        </w:rPr>
        <w:t>,</w:t>
      </w:r>
      <w:r w:rsidR="005B2EA6">
        <w:rPr>
          <w:rFonts w:ascii="Garamond" w:hAnsi="Garamond"/>
        </w:rPr>
        <w:t xml:space="preserve"> than with the</w:t>
      </w:r>
      <w:r w:rsidR="00E62E97">
        <w:rPr>
          <w:rFonts w:ascii="Garamond" w:hAnsi="Garamond"/>
        </w:rPr>
        <w:t xml:space="preserve"> work – in this context, </w:t>
      </w:r>
      <w:r w:rsidR="007B7860">
        <w:rPr>
          <w:rFonts w:ascii="Garamond" w:hAnsi="Garamond"/>
        </w:rPr>
        <w:t xml:space="preserve">the </w:t>
      </w:r>
      <w:r w:rsidR="00E62E97">
        <w:rPr>
          <w:rFonts w:ascii="Garamond" w:hAnsi="Garamond"/>
        </w:rPr>
        <w:t>often routine legal work –</w:t>
      </w:r>
      <w:r w:rsidR="005B2EA6">
        <w:rPr>
          <w:rFonts w:ascii="Garamond" w:hAnsi="Garamond"/>
        </w:rPr>
        <w:t xml:space="preserve"> that goes into</w:t>
      </w:r>
      <w:r w:rsidR="00E62E97">
        <w:rPr>
          <w:rFonts w:ascii="Garamond" w:hAnsi="Garamond"/>
        </w:rPr>
        <w:t xml:space="preserve"> producing and sustaining particular ideas about the future in social and legal consciousness and practice.</w:t>
      </w:r>
      <w:r w:rsidR="00E31531">
        <w:rPr>
          <w:rFonts w:ascii="Garamond" w:hAnsi="Garamond"/>
        </w:rPr>
        <w:t xml:space="preserve">  </w:t>
      </w:r>
      <w:r w:rsidR="007B7860">
        <w:rPr>
          <w:rFonts w:ascii="Garamond" w:hAnsi="Garamond"/>
        </w:rPr>
        <w:t xml:space="preserve">As the discussion so far has </w:t>
      </w:r>
      <w:r w:rsidR="00940F75">
        <w:rPr>
          <w:rFonts w:ascii="Garamond" w:hAnsi="Garamond"/>
        </w:rPr>
        <w:t>suggested</w:t>
      </w:r>
      <w:r w:rsidR="007B7860">
        <w:rPr>
          <w:rFonts w:ascii="Garamond" w:hAnsi="Garamond"/>
        </w:rPr>
        <w:t>,</w:t>
      </w:r>
      <w:r w:rsidR="00E31531">
        <w:rPr>
          <w:rFonts w:ascii="Garamond" w:hAnsi="Garamond"/>
        </w:rPr>
        <w:t xml:space="preserve"> </w:t>
      </w:r>
      <w:r w:rsidR="006B1963">
        <w:rPr>
          <w:rFonts w:ascii="Garamond" w:hAnsi="Garamond"/>
        </w:rPr>
        <w:t xml:space="preserve">a concept as </w:t>
      </w:r>
      <w:r w:rsidR="0048037E">
        <w:rPr>
          <w:rFonts w:ascii="Garamond" w:hAnsi="Garamond"/>
        </w:rPr>
        <w:t>rudimentary</w:t>
      </w:r>
      <w:r w:rsidR="006B1963">
        <w:rPr>
          <w:rFonts w:ascii="Garamond" w:hAnsi="Garamond"/>
        </w:rPr>
        <w:t xml:space="preserve"> as ‘relevance’</w:t>
      </w:r>
      <w:r w:rsidR="005D0840">
        <w:rPr>
          <w:rFonts w:ascii="Garamond" w:hAnsi="Garamond"/>
        </w:rPr>
        <w:t xml:space="preserve"> </w:t>
      </w:r>
      <w:r w:rsidR="00EE7812">
        <w:rPr>
          <w:rFonts w:ascii="Garamond" w:hAnsi="Garamond"/>
        </w:rPr>
        <w:t xml:space="preserve">creates a particular </w:t>
      </w:r>
      <w:r w:rsidR="00940F75">
        <w:rPr>
          <w:rFonts w:ascii="Garamond" w:hAnsi="Garamond"/>
        </w:rPr>
        <w:t xml:space="preserve">temporal </w:t>
      </w:r>
      <w:r w:rsidR="009B0CF8">
        <w:rPr>
          <w:rFonts w:ascii="Garamond" w:hAnsi="Garamond"/>
        </w:rPr>
        <w:t>dynamic</w:t>
      </w:r>
      <w:r w:rsidR="00940F75">
        <w:rPr>
          <w:rFonts w:ascii="Garamond" w:hAnsi="Garamond"/>
        </w:rPr>
        <w:t xml:space="preserve">, </w:t>
      </w:r>
      <w:r w:rsidR="00456042">
        <w:rPr>
          <w:rFonts w:ascii="Garamond" w:hAnsi="Garamond"/>
        </w:rPr>
        <w:t>in</w:t>
      </w:r>
      <w:r w:rsidR="00BB646F">
        <w:rPr>
          <w:rFonts w:ascii="Garamond" w:hAnsi="Garamond"/>
        </w:rPr>
        <w:t xml:space="preserve"> that</w:t>
      </w:r>
      <w:r w:rsidR="00456042">
        <w:rPr>
          <w:rFonts w:ascii="Garamond" w:hAnsi="Garamond"/>
        </w:rPr>
        <w:t xml:space="preserve"> </w:t>
      </w:r>
      <w:r w:rsidR="00580FCC">
        <w:rPr>
          <w:rFonts w:ascii="Garamond" w:hAnsi="Garamond"/>
        </w:rPr>
        <w:t>the applicability of the tilted balance depends on the relationship between the proposed future development and pre-existing policies of the local development plan.</w:t>
      </w:r>
      <w:r w:rsidR="0045552B">
        <w:rPr>
          <w:rFonts w:ascii="Garamond" w:hAnsi="Garamond"/>
        </w:rPr>
        <w:t xml:space="preserve">  It offers at least a sense of</w:t>
      </w:r>
      <w:r w:rsidR="00FF571B">
        <w:rPr>
          <w:rFonts w:ascii="Garamond" w:hAnsi="Garamond"/>
        </w:rPr>
        <w:t xml:space="preserve"> </w:t>
      </w:r>
      <w:r w:rsidR="0045552B">
        <w:rPr>
          <w:rFonts w:ascii="Garamond" w:hAnsi="Garamond"/>
        </w:rPr>
        <w:t>t</w:t>
      </w:r>
      <w:r w:rsidR="00166352">
        <w:rPr>
          <w:rFonts w:ascii="Garamond" w:hAnsi="Garamond"/>
        </w:rPr>
        <w:t xml:space="preserve">he past, present and future </w:t>
      </w:r>
      <w:r w:rsidR="0045552B">
        <w:rPr>
          <w:rFonts w:ascii="Garamond" w:hAnsi="Garamond"/>
        </w:rPr>
        <w:t>as</w:t>
      </w:r>
      <w:r w:rsidR="00166352">
        <w:rPr>
          <w:rFonts w:ascii="Garamond" w:hAnsi="Garamond"/>
        </w:rPr>
        <w:t xml:space="preserve"> aspects of each other</w:t>
      </w:r>
      <w:r w:rsidR="0045552B">
        <w:rPr>
          <w:rFonts w:ascii="Garamond" w:hAnsi="Garamond"/>
        </w:rPr>
        <w:t xml:space="preserve">, </w:t>
      </w:r>
      <w:r w:rsidR="00A77895">
        <w:rPr>
          <w:rFonts w:ascii="Garamond" w:hAnsi="Garamond"/>
        </w:rPr>
        <w:t>rather than</w:t>
      </w:r>
      <w:r w:rsidR="00FF571B">
        <w:rPr>
          <w:rFonts w:ascii="Garamond" w:hAnsi="Garamond"/>
        </w:rPr>
        <w:t xml:space="preserve"> as contrasting ‘types’ of time, which </w:t>
      </w:r>
      <w:r w:rsidR="00940EA5">
        <w:rPr>
          <w:rFonts w:ascii="Garamond" w:hAnsi="Garamond"/>
        </w:rPr>
        <w:t xml:space="preserve">offers a promising broadening of </w:t>
      </w:r>
      <w:r w:rsidR="00EE6B99">
        <w:rPr>
          <w:rFonts w:ascii="Garamond" w:hAnsi="Garamond"/>
        </w:rPr>
        <w:t>the temporal features examinable in planning law</w:t>
      </w:r>
      <w:r w:rsidR="008A697C">
        <w:rPr>
          <w:rFonts w:ascii="Garamond" w:hAnsi="Garamond"/>
        </w:rPr>
        <w:t>.</w:t>
      </w:r>
    </w:p>
    <w:p w14:paraId="715B7077" w14:textId="77777777" w:rsidR="00007B8F" w:rsidRDefault="00007B8F" w:rsidP="007877BF">
      <w:pPr>
        <w:spacing w:line="360" w:lineRule="auto"/>
        <w:rPr>
          <w:rFonts w:ascii="Garamond" w:hAnsi="Garamond"/>
        </w:rPr>
      </w:pPr>
    </w:p>
    <w:p w14:paraId="68DB4960" w14:textId="3C3B1F5C" w:rsidR="007A2802" w:rsidRDefault="007D1880" w:rsidP="007D1880">
      <w:pPr>
        <w:spacing w:line="360" w:lineRule="auto"/>
        <w:rPr>
          <w:rFonts w:ascii="Garamond" w:hAnsi="Garamond"/>
        </w:rPr>
      </w:pPr>
      <w:r>
        <w:rPr>
          <w:rFonts w:ascii="Garamond" w:hAnsi="Garamond"/>
        </w:rPr>
        <w:t xml:space="preserve">Opening up planning law studies to broader conceptualisations of futurity raises the possibility that futures are envisioned, regularised and practiced in a wider range of planning law provisions than has been appreciated.  As a result, provisions which are not explicitly futural, or which are so routine and unremarkable that their futures-work </w:t>
      </w:r>
      <w:r w:rsidRPr="00950BD7">
        <w:rPr>
          <w:rFonts w:ascii="Garamond" w:hAnsi="Garamond"/>
        </w:rPr>
        <w:t>goes without saying</w:t>
      </w:r>
      <w:r>
        <w:rPr>
          <w:rFonts w:ascii="Garamond" w:hAnsi="Garamond"/>
        </w:rPr>
        <w:t>, become new contenders for analysis.  Therefore, in order to take planning law seriously as a site of future-</w:t>
      </w:r>
      <w:r>
        <w:rPr>
          <w:rFonts w:ascii="Garamond" w:hAnsi="Garamond"/>
        </w:rPr>
        <w:lastRenderedPageBreak/>
        <w:t>making, there is a case for focusing on the numerous less obvious ways that futures are anticipated and acted upon.</w:t>
      </w:r>
    </w:p>
    <w:p w14:paraId="432EE85C" w14:textId="7994E663" w:rsidR="00E035E7" w:rsidRDefault="00E035E7" w:rsidP="007D1880">
      <w:pPr>
        <w:spacing w:line="360" w:lineRule="auto"/>
        <w:rPr>
          <w:rFonts w:ascii="Garamond" w:hAnsi="Garamond"/>
        </w:rPr>
      </w:pPr>
    </w:p>
    <w:p w14:paraId="3FF2A181" w14:textId="04ADB1D2" w:rsidR="007B021D" w:rsidRDefault="00E035E7" w:rsidP="007D1880">
      <w:pPr>
        <w:spacing w:line="360" w:lineRule="auto"/>
        <w:rPr>
          <w:rFonts w:ascii="Garamond" w:hAnsi="Garamond"/>
        </w:rPr>
      </w:pPr>
      <w:r>
        <w:rPr>
          <w:rFonts w:ascii="Garamond" w:hAnsi="Garamond"/>
        </w:rPr>
        <w:t xml:space="preserve">In that respect, </w:t>
      </w:r>
      <w:r w:rsidRPr="00E035E7">
        <w:rPr>
          <w:rFonts w:ascii="Garamond" w:hAnsi="Garamond"/>
        </w:rPr>
        <w:t xml:space="preserve">a useful illustration is offered by the Secretary of State’s </w:t>
      </w:r>
      <w:r w:rsidR="007B021D">
        <w:rPr>
          <w:rFonts w:ascii="Garamond" w:hAnsi="Garamond"/>
        </w:rPr>
        <w:t xml:space="preserve">statutory </w:t>
      </w:r>
      <w:r w:rsidRPr="00E035E7">
        <w:rPr>
          <w:rFonts w:ascii="Garamond" w:hAnsi="Garamond"/>
        </w:rPr>
        <w:t>powers to call-in planning applications and recover planning appeals</w:t>
      </w:r>
      <w:r w:rsidR="00441702">
        <w:rPr>
          <w:rFonts w:ascii="Garamond" w:hAnsi="Garamond"/>
        </w:rPr>
        <w:t xml:space="preserve"> </w:t>
      </w:r>
      <w:r w:rsidR="009B4D55">
        <w:rPr>
          <w:rFonts w:ascii="Garamond" w:hAnsi="Garamond"/>
        </w:rPr>
        <w:t>for</w:t>
      </w:r>
      <w:r w:rsidR="007B021D">
        <w:rPr>
          <w:rFonts w:ascii="Garamond" w:hAnsi="Garamond"/>
        </w:rPr>
        <w:t xml:space="preserve"> her own determination, specifically i</w:t>
      </w:r>
      <w:r w:rsidR="005E6220">
        <w:rPr>
          <w:rFonts w:ascii="Garamond" w:hAnsi="Garamond"/>
        </w:rPr>
        <w:t>n the context of</w:t>
      </w:r>
      <w:r w:rsidR="009B4D55">
        <w:rPr>
          <w:rFonts w:ascii="Garamond" w:hAnsi="Garamond"/>
        </w:rPr>
        <w:t xml:space="preserve"> </w:t>
      </w:r>
      <w:r w:rsidR="00DE2D6A">
        <w:rPr>
          <w:rFonts w:ascii="Garamond" w:hAnsi="Garamond"/>
        </w:rPr>
        <w:t>shale gas</w:t>
      </w:r>
      <w:r w:rsidR="009B4D55">
        <w:rPr>
          <w:rFonts w:ascii="Garamond" w:hAnsi="Garamond"/>
        </w:rPr>
        <w:t xml:space="preserve"> operations involving fracking.</w:t>
      </w:r>
      <w:r w:rsidR="003348EF">
        <w:rPr>
          <w:rFonts w:ascii="Garamond" w:hAnsi="Garamond"/>
        </w:rPr>
        <w:t xml:space="preserve">  </w:t>
      </w:r>
      <w:r w:rsidRPr="00271ACD">
        <w:rPr>
          <w:rFonts w:ascii="Garamond" w:hAnsi="Garamond"/>
        </w:rPr>
        <w:t>The illustration</w:t>
      </w:r>
      <w:r w:rsidR="00DE2D6A">
        <w:rPr>
          <w:rFonts w:ascii="Garamond" w:hAnsi="Garamond"/>
        </w:rPr>
        <w:t xml:space="preserve"> </w:t>
      </w:r>
      <w:r w:rsidRPr="00271ACD">
        <w:rPr>
          <w:rFonts w:ascii="Garamond" w:hAnsi="Garamond"/>
        </w:rPr>
        <w:t>is historical, given that the UK Government has now withdrawn its support for fracking, but it gives an idea of some of the avenues waiting to be explored in investigating how – by which legal mechanisms and temporal modes – planning law operates through futures that, by definition, may never actually happen.</w:t>
      </w:r>
      <w:r w:rsidR="009B4D55" w:rsidRPr="00271ACD">
        <w:rPr>
          <w:rFonts w:ascii="Garamond" w:hAnsi="Garamond"/>
        </w:rPr>
        <w:t xml:space="preserve">  </w:t>
      </w:r>
      <w:r w:rsidR="00014340">
        <w:rPr>
          <w:rFonts w:ascii="Garamond" w:hAnsi="Garamond"/>
        </w:rPr>
        <w:t>In</w:t>
      </w:r>
      <w:r w:rsidR="009B4D55" w:rsidRPr="00271ACD">
        <w:rPr>
          <w:rFonts w:ascii="Garamond" w:hAnsi="Garamond"/>
        </w:rPr>
        <w:t xml:space="preserve"> Juliet Davis</w:t>
      </w:r>
      <w:r w:rsidR="00014340">
        <w:rPr>
          <w:rFonts w:ascii="Garamond" w:hAnsi="Garamond"/>
        </w:rPr>
        <w:t>’s words</w:t>
      </w:r>
      <w:r w:rsidR="009B4D55" w:rsidRPr="00271ACD">
        <w:rPr>
          <w:rFonts w:ascii="Garamond" w:hAnsi="Garamond"/>
        </w:rPr>
        <w:t>, planning histories ‘are inescapably histories of futures’.</w:t>
      </w:r>
      <w:r w:rsidR="009B4D55" w:rsidRPr="00271ACD">
        <w:rPr>
          <w:rStyle w:val="EndnoteReference"/>
          <w:rFonts w:ascii="Garamond" w:hAnsi="Garamond"/>
        </w:rPr>
        <w:endnoteReference w:id="75"/>
      </w:r>
      <w:r w:rsidR="007B021D">
        <w:rPr>
          <w:rFonts w:ascii="Garamond" w:hAnsi="Garamond"/>
        </w:rPr>
        <w:t xml:space="preserve">  </w:t>
      </w:r>
      <w:r w:rsidR="003348EF">
        <w:rPr>
          <w:rFonts w:ascii="Garamond" w:hAnsi="Garamond"/>
        </w:rPr>
        <w:t xml:space="preserve">As will be shown, </w:t>
      </w:r>
      <w:r w:rsidR="005E6220">
        <w:rPr>
          <w:rFonts w:ascii="Garamond" w:hAnsi="Garamond"/>
        </w:rPr>
        <w:t>the Secretary of State’s</w:t>
      </w:r>
      <w:r w:rsidR="003348EF">
        <w:rPr>
          <w:rFonts w:ascii="Garamond" w:hAnsi="Garamond"/>
        </w:rPr>
        <w:t xml:space="preserve"> intervention in planning decisions</w:t>
      </w:r>
      <w:r w:rsidR="005E6220">
        <w:rPr>
          <w:rFonts w:ascii="Garamond" w:hAnsi="Garamond"/>
        </w:rPr>
        <w:t xml:space="preserve"> </w:t>
      </w:r>
      <w:r w:rsidR="003348EF">
        <w:rPr>
          <w:rFonts w:ascii="Garamond" w:hAnsi="Garamond"/>
        </w:rPr>
        <w:t>has come to be understood predominantly in terms of jurisdictional scale</w:t>
      </w:r>
      <w:r w:rsidR="005E6220">
        <w:rPr>
          <w:rFonts w:ascii="Garamond" w:hAnsi="Garamond"/>
        </w:rPr>
        <w:t xml:space="preserve">, even though </w:t>
      </w:r>
      <w:r w:rsidR="00286250">
        <w:rPr>
          <w:rFonts w:ascii="Garamond" w:hAnsi="Garamond"/>
        </w:rPr>
        <w:t>the administration and exercise of such ministerial power</w:t>
      </w:r>
      <w:r w:rsidR="005E6220">
        <w:rPr>
          <w:rFonts w:ascii="Garamond" w:hAnsi="Garamond"/>
        </w:rPr>
        <w:t xml:space="preserve"> can also involve </w:t>
      </w:r>
      <w:r w:rsidR="007B021D">
        <w:rPr>
          <w:rFonts w:ascii="Garamond" w:hAnsi="Garamond"/>
        </w:rPr>
        <w:t>rather specific invocations and institutionalised practices of future-makin</w:t>
      </w:r>
      <w:r w:rsidR="005E6220">
        <w:rPr>
          <w:rFonts w:ascii="Garamond" w:hAnsi="Garamond"/>
        </w:rPr>
        <w:t>g.  The discussion below</w:t>
      </w:r>
      <w:r w:rsidR="00A933DE">
        <w:rPr>
          <w:rFonts w:ascii="Garamond" w:hAnsi="Garamond"/>
        </w:rPr>
        <w:t xml:space="preserve"> begins to bring out some of the distinctive insights that a futurescapes perspective can offer legal analysis in this </w:t>
      </w:r>
      <w:r w:rsidR="00286250">
        <w:rPr>
          <w:rFonts w:ascii="Garamond" w:hAnsi="Garamond"/>
        </w:rPr>
        <w:t>setting.</w:t>
      </w:r>
      <w:r w:rsidR="005E6220">
        <w:rPr>
          <w:rFonts w:ascii="Garamond" w:hAnsi="Garamond"/>
        </w:rPr>
        <w:t xml:space="preserve"> </w:t>
      </w:r>
    </w:p>
    <w:p w14:paraId="27D472CB" w14:textId="77777777" w:rsidR="004E396E" w:rsidRPr="004E396E" w:rsidRDefault="004E396E" w:rsidP="00E72458">
      <w:pPr>
        <w:spacing w:line="360" w:lineRule="auto"/>
        <w:rPr>
          <w:rFonts w:ascii="Garamond" w:hAnsi="Garamond"/>
        </w:rPr>
      </w:pPr>
    </w:p>
    <w:p w14:paraId="61080A5E" w14:textId="3BBCD588" w:rsidR="00916945" w:rsidRPr="00A72C2F" w:rsidRDefault="005B58FA" w:rsidP="00E72458">
      <w:pPr>
        <w:spacing w:line="360" w:lineRule="auto"/>
        <w:rPr>
          <w:rFonts w:ascii="Garamond" w:hAnsi="Garamond"/>
          <w:b/>
          <w:bCs/>
        </w:rPr>
      </w:pPr>
      <w:r>
        <w:rPr>
          <w:rFonts w:ascii="Garamond" w:hAnsi="Garamond"/>
          <w:b/>
          <w:bCs/>
        </w:rPr>
        <w:t>Supplementing Scalar Analyses</w:t>
      </w:r>
      <w:r w:rsidR="003348EF">
        <w:rPr>
          <w:rFonts w:ascii="Garamond" w:hAnsi="Garamond"/>
          <w:b/>
          <w:bCs/>
        </w:rPr>
        <w:t xml:space="preserve"> with</w:t>
      </w:r>
      <w:r w:rsidR="00B769F7">
        <w:rPr>
          <w:rFonts w:ascii="Garamond" w:hAnsi="Garamond"/>
          <w:b/>
          <w:bCs/>
        </w:rPr>
        <w:t xml:space="preserve"> a Futurescapes Approach </w:t>
      </w:r>
      <w:r w:rsidR="003348EF">
        <w:rPr>
          <w:rFonts w:ascii="Garamond" w:hAnsi="Garamond"/>
          <w:b/>
          <w:bCs/>
        </w:rPr>
        <w:t xml:space="preserve"> </w:t>
      </w:r>
    </w:p>
    <w:p w14:paraId="63669A50" w14:textId="02A01DD1" w:rsidR="003B6257" w:rsidRDefault="002F769D" w:rsidP="00E72458">
      <w:pPr>
        <w:spacing w:line="360" w:lineRule="auto"/>
        <w:rPr>
          <w:rFonts w:ascii="Garamond" w:hAnsi="Garamond"/>
        </w:rPr>
      </w:pPr>
      <w:r>
        <w:rPr>
          <w:rFonts w:ascii="Garamond" w:hAnsi="Garamond"/>
        </w:rPr>
        <w:t xml:space="preserve">The Secretary of State has various </w:t>
      </w:r>
      <w:r w:rsidR="006A3C1C">
        <w:rPr>
          <w:rFonts w:ascii="Garamond" w:hAnsi="Garamond"/>
        </w:rPr>
        <w:t xml:space="preserve">statutory </w:t>
      </w:r>
      <w:r>
        <w:rPr>
          <w:rFonts w:ascii="Garamond" w:hAnsi="Garamond"/>
        </w:rPr>
        <w:t xml:space="preserve">powers to </w:t>
      </w:r>
      <w:r w:rsidR="00E90ACA">
        <w:rPr>
          <w:rFonts w:ascii="Garamond" w:hAnsi="Garamond"/>
        </w:rPr>
        <w:t xml:space="preserve">intervene in </w:t>
      </w:r>
      <w:r w:rsidR="00E90634">
        <w:rPr>
          <w:rFonts w:ascii="Garamond" w:hAnsi="Garamond"/>
        </w:rPr>
        <w:t xml:space="preserve">the </w:t>
      </w:r>
      <w:r w:rsidR="0060738A">
        <w:rPr>
          <w:rFonts w:ascii="Garamond" w:hAnsi="Garamond"/>
        </w:rPr>
        <w:t>planning pr</w:t>
      </w:r>
      <w:r w:rsidR="00E90634">
        <w:rPr>
          <w:rFonts w:ascii="Garamond" w:hAnsi="Garamond"/>
        </w:rPr>
        <w:t>ocess</w:t>
      </w:r>
      <w:r w:rsidR="00CF02DC">
        <w:rPr>
          <w:rFonts w:ascii="Garamond" w:hAnsi="Garamond"/>
        </w:rPr>
        <w:t>.</w:t>
      </w:r>
      <w:r w:rsidR="005534EE">
        <w:rPr>
          <w:rFonts w:ascii="Garamond" w:hAnsi="Garamond"/>
        </w:rPr>
        <w:t xml:space="preserve">  </w:t>
      </w:r>
      <w:r w:rsidR="00850365">
        <w:rPr>
          <w:rFonts w:ascii="Garamond" w:hAnsi="Garamond"/>
        </w:rPr>
        <w:t>The</w:t>
      </w:r>
      <w:r w:rsidR="00FD0036">
        <w:rPr>
          <w:rFonts w:ascii="Garamond" w:hAnsi="Garamond"/>
        </w:rPr>
        <w:t>y</w:t>
      </w:r>
      <w:r w:rsidR="00850365">
        <w:rPr>
          <w:rFonts w:ascii="Garamond" w:hAnsi="Garamond"/>
        </w:rPr>
        <w:t xml:space="preserve"> include default powers </w:t>
      </w:r>
      <w:r w:rsidR="00106331">
        <w:rPr>
          <w:rFonts w:ascii="Garamond" w:hAnsi="Garamond"/>
        </w:rPr>
        <w:t xml:space="preserve">enabling the Secretary of State </w:t>
      </w:r>
      <w:r w:rsidR="006A3C1C">
        <w:rPr>
          <w:rFonts w:ascii="Garamond" w:hAnsi="Garamond"/>
        </w:rPr>
        <w:t xml:space="preserve">to prepare or revise a local development plan, if she </w:t>
      </w:r>
      <w:r w:rsidR="00850365">
        <w:rPr>
          <w:rFonts w:ascii="Garamond" w:hAnsi="Garamond"/>
        </w:rPr>
        <w:t>considers</w:t>
      </w:r>
      <w:r w:rsidR="006A3C1C">
        <w:rPr>
          <w:rFonts w:ascii="Garamond" w:hAnsi="Garamond"/>
        </w:rPr>
        <w:t xml:space="preserve"> </w:t>
      </w:r>
      <w:r w:rsidR="00850365">
        <w:rPr>
          <w:rFonts w:ascii="Garamond" w:hAnsi="Garamond"/>
        </w:rPr>
        <w:t xml:space="preserve">that </w:t>
      </w:r>
      <w:r w:rsidR="006A3C1C">
        <w:rPr>
          <w:rFonts w:ascii="Garamond" w:hAnsi="Garamond"/>
        </w:rPr>
        <w:t xml:space="preserve">the local planning authority </w:t>
      </w:r>
      <w:r w:rsidR="00072B39">
        <w:rPr>
          <w:rFonts w:ascii="Garamond" w:hAnsi="Garamond"/>
        </w:rPr>
        <w:t>is</w:t>
      </w:r>
      <w:r w:rsidR="006A3C1C">
        <w:rPr>
          <w:rFonts w:ascii="Garamond" w:hAnsi="Garamond"/>
        </w:rPr>
        <w:t xml:space="preserve"> failing</w:t>
      </w:r>
      <w:r w:rsidR="008904C9">
        <w:rPr>
          <w:rFonts w:ascii="Garamond" w:hAnsi="Garamond"/>
        </w:rPr>
        <w:t xml:space="preserve"> properly</w:t>
      </w:r>
      <w:r w:rsidR="006A3C1C">
        <w:rPr>
          <w:rFonts w:ascii="Garamond" w:hAnsi="Garamond"/>
        </w:rPr>
        <w:t xml:space="preserve"> to carry out </w:t>
      </w:r>
      <w:r w:rsidR="00072B39">
        <w:rPr>
          <w:rFonts w:ascii="Garamond" w:hAnsi="Garamond"/>
        </w:rPr>
        <w:t xml:space="preserve">its </w:t>
      </w:r>
      <w:r w:rsidR="00950AE8">
        <w:rPr>
          <w:rFonts w:ascii="Garamond" w:hAnsi="Garamond"/>
        </w:rPr>
        <w:t>functions in that regard</w:t>
      </w:r>
      <w:r w:rsidR="00374C8A">
        <w:rPr>
          <w:rFonts w:ascii="Garamond" w:hAnsi="Garamond"/>
        </w:rPr>
        <w:t>.</w:t>
      </w:r>
      <w:r w:rsidR="006A3C1C">
        <w:rPr>
          <w:rStyle w:val="EndnoteReference"/>
          <w:rFonts w:ascii="Garamond" w:hAnsi="Garamond"/>
        </w:rPr>
        <w:endnoteReference w:id="76"/>
      </w:r>
      <w:r w:rsidR="00374C8A">
        <w:rPr>
          <w:rFonts w:ascii="Garamond" w:hAnsi="Garamond"/>
        </w:rPr>
        <w:t xml:space="preserve">  </w:t>
      </w:r>
      <w:r w:rsidR="00203E3A">
        <w:rPr>
          <w:rFonts w:ascii="Garamond" w:hAnsi="Garamond"/>
        </w:rPr>
        <w:t>In respect of</w:t>
      </w:r>
      <w:r w:rsidR="00D537D2">
        <w:rPr>
          <w:rFonts w:ascii="Garamond" w:hAnsi="Garamond"/>
        </w:rPr>
        <w:t xml:space="preserve"> </w:t>
      </w:r>
      <w:r w:rsidR="00072B39">
        <w:rPr>
          <w:rFonts w:ascii="Garamond" w:hAnsi="Garamond"/>
        </w:rPr>
        <w:t xml:space="preserve">planning </w:t>
      </w:r>
      <w:r w:rsidR="00203E3A">
        <w:rPr>
          <w:rFonts w:ascii="Garamond" w:hAnsi="Garamond"/>
        </w:rPr>
        <w:t>applications</w:t>
      </w:r>
      <w:r w:rsidR="00FD231C">
        <w:rPr>
          <w:rFonts w:ascii="Garamond" w:hAnsi="Garamond"/>
        </w:rPr>
        <w:t>, the</w:t>
      </w:r>
      <w:r w:rsidR="005E545F">
        <w:rPr>
          <w:rFonts w:ascii="Garamond" w:hAnsi="Garamond"/>
        </w:rPr>
        <w:t xml:space="preserve"> Secretary of State </w:t>
      </w:r>
      <w:r w:rsidR="00850365">
        <w:rPr>
          <w:rFonts w:ascii="Garamond" w:hAnsi="Garamond"/>
        </w:rPr>
        <w:t>may</w:t>
      </w:r>
      <w:r w:rsidR="00203E3A">
        <w:rPr>
          <w:rFonts w:ascii="Garamond" w:hAnsi="Garamond"/>
        </w:rPr>
        <w:t xml:space="preserve"> </w:t>
      </w:r>
      <w:r w:rsidR="006956EC">
        <w:rPr>
          <w:rFonts w:ascii="Garamond" w:hAnsi="Garamond"/>
        </w:rPr>
        <w:t>give</w:t>
      </w:r>
      <w:r w:rsidR="00E51655">
        <w:rPr>
          <w:rFonts w:ascii="Garamond" w:hAnsi="Garamond"/>
        </w:rPr>
        <w:t xml:space="preserve"> a </w:t>
      </w:r>
      <w:r w:rsidR="00850365">
        <w:rPr>
          <w:rFonts w:ascii="Garamond" w:hAnsi="Garamond"/>
        </w:rPr>
        <w:t>direction restricting the grant of permission by a local planning authority,</w:t>
      </w:r>
      <w:r w:rsidR="005E545F">
        <w:rPr>
          <w:rFonts w:ascii="Garamond" w:hAnsi="Garamond"/>
        </w:rPr>
        <w:t xml:space="preserve"> for a specified period or until the direction is lifted.</w:t>
      </w:r>
      <w:r w:rsidR="005E545F">
        <w:rPr>
          <w:rStyle w:val="EndnoteReference"/>
          <w:rFonts w:ascii="Garamond" w:hAnsi="Garamond"/>
        </w:rPr>
        <w:endnoteReference w:id="77"/>
      </w:r>
      <w:r w:rsidR="000E0E1F">
        <w:rPr>
          <w:rFonts w:ascii="Garamond" w:hAnsi="Garamond"/>
        </w:rPr>
        <w:t xml:space="preserve">  She </w:t>
      </w:r>
      <w:r w:rsidR="006956EC">
        <w:rPr>
          <w:rFonts w:ascii="Garamond" w:hAnsi="Garamond"/>
        </w:rPr>
        <w:t>may</w:t>
      </w:r>
      <w:r w:rsidR="000E0E1F">
        <w:rPr>
          <w:rFonts w:ascii="Garamond" w:hAnsi="Garamond"/>
        </w:rPr>
        <w:t xml:space="preserve"> give a direction for a development to be treated as a project of national significance requiring a development consent order</w:t>
      </w:r>
      <w:r w:rsidR="00E4089B">
        <w:rPr>
          <w:rFonts w:ascii="Garamond" w:hAnsi="Garamond"/>
        </w:rPr>
        <w:t>, as opposed to local planning permission</w:t>
      </w:r>
      <w:r w:rsidR="000B6E19">
        <w:rPr>
          <w:rFonts w:ascii="Garamond" w:hAnsi="Garamond"/>
        </w:rPr>
        <w:t>.</w:t>
      </w:r>
      <w:r w:rsidR="000E0E1F">
        <w:rPr>
          <w:rStyle w:val="EndnoteReference"/>
          <w:rFonts w:ascii="Garamond" w:hAnsi="Garamond"/>
        </w:rPr>
        <w:endnoteReference w:id="78"/>
      </w:r>
      <w:r w:rsidR="000B6E19">
        <w:rPr>
          <w:rFonts w:ascii="Garamond" w:hAnsi="Garamond"/>
        </w:rPr>
        <w:t xml:space="preserve">  </w:t>
      </w:r>
      <w:r w:rsidR="001862A0">
        <w:rPr>
          <w:rFonts w:ascii="Garamond" w:hAnsi="Garamond"/>
        </w:rPr>
        <w:t xml:space="preserve">She may issue guidance </w:t>
      </w:r>
      <w:r w:rsidR="00C23B47">
        <w:rPr>
          <w:rFonts w:ascii="Garamond" w:hAnsi="Garamond"/>
        </w:rPr>
        <w:t xml:space="preserve">on matters such as </w:t>
      </w:r>
      <w:r w:rsidR="006956EC">
        <w:rPr>
          <w:rFonts w:ascii="Garamond" w:hAnsi="Garamond"/>
        </w:rPr>
        <w:t>the</w:t>
      </w:r>
      <w:r w:rsidR="000B6E19">
        <w:rPr>
          <w:rFonts w:ascii="Garamond" w:hAnsi="Garamond"/>
        </w:rPr>
        <w:t xml:space="preserve"> community infrastructure levy</w:t>
      </w:r>
      <w:r w:rsidR="00C23B47">
        <w:rPr>
          <w:rFonts w:ascii="Garamond" w:hAnsi="Garamond"/>
        </w:rPr>
        <w:t>,</w:t>
      </w:r>
      <w:r w:rsidR="000B6E19">
        <w:rPr>
          <w:rFonts w:ascii="Garamond" w:hAnsi="Garamond"/>
        </w:rPr>
        <w:t xml:space="preserve"> a tax on development</w:t>
      </w:r>
      <w:r w:rsidR="006956EC">
        <w:rPr>
          <w:rFonts w:ascii="Garamond" w:hAnsi="Garamond"/>
        </w:rPr>
        <w:t xml:space="preserve"> to fund the infrastructure it will rely on</w:t>
      </w:r>
      <w:r w:rsidR="000B6E19">
        <w:rPr>
          <w:rFonts w:ascii="Garamond" w:hAnsi="Garamond"/>
        </w:rPr>
        <w:t>,</w:t>
      </w:r>
      <w:r w:rsidR="00C23B47">
        <w:rPr>
          <w:rFonts w:ascii="Garamond" w:hAnsi="Garamond"/>
        </w:rPr>
        <w:t xml:space="preserve"> which </w:t>
      </w:r>
      <w:r w:rsidR="006956EC">
        <w:rPr>
          <w:rFonts w:ascii="Garamond" w:hAnsi="Garamond"/>
        </w:rPr>
        <w:t>local planning authorities</w:t>
      </w:r>
      <w:r w:rsidR="00473EA8">
        <w:rPr>
          <w:rFonts w:ascii="Garamond" w:hAnsi="Garamond"/>
        </w:rPr>
        <w:t xml:space="preserve"> </w:t>
      </w:r>
      <w:r w:rsidR="00C23B47">
        <w:rPr>
          <w:rFonts w:ascii="Garamond" w:hAnsi="Garamond"/>
        </w:rPr>
        <w:t>must take into account</w:t>
      </w:r>
      <w:r w:rsidR="006956EC">
        <w:rPr>
          <w:rFonts w:ascii="Garamond" w:hAnsi="Garamond"/>
        </w:rPr>
        <w:t xml:space="preserve"> in adopting the levy</w:t>
      </w:r>
      <w:r w:rsidR="00C23B47">
        <w:rPr>
          <w:rFonts w:ascii="Garamond" w:hAnsi="Garamond"/>
        </w:rPr>
        <w:t>.</w:t>
      </w:r>
      <w:r w:rsidR="006956EC">
        <w:rPr>
          <w:rStyle w:val="EndnoteReference"/>
          <w:rFonts w:ascii="Garamond" w:hAnsi="Garamond"/>
        </w:rPr>
        <w:endnoteReference w:id="79"/>
      </w:r>
      <w:r w:rsidR="006956EC">
        <w:rPr>
          <w:rFonts w:ascii="Garamond" w:hAnsi="Garamond"/>
        </w:rPr>
        <w:t xml:space="preserve">  </w:t>
      </w:r>
      <w:r w:rsidR="003B2807">
        <w:rPr>
          <w:rFonts w:ascii="Garamond" w:hAnsi="Garamond"/>
        </w:rPr>
        <w:t xml:space="preserve">This is just to name a few of the </w:t>
      </w:r>
      <w:r w:rsidR="00F475CD">
        <w:rPr>
          <w:rFonts w:ascii="Garamond" w:hAnsi="Garamond"/>
        </w:rPr>
        <w:t xml:space="preserve">devices that allow for </w:t>
      </w:r>
      <w:r w:rsidR="008337E0">
        <w:rPr>
          <w:rFonts w:ascii="Garamond" w:hAnsi="Garamond"/>
        </w:rPr>
        <w:t>m</w:t>
      </w:r>
      <w:r w:rsidR="00F475CD">
        <w:rPr>
          <w:rFonts w:ascii="Garamond" w:hAnsi="Garamond"/>
        </w:rPr>
        <w:t xml:space="preserve">inisterial involvement in local policy </w:t>
      </w:r>
      <w:r w:rsidR="006956EC">
        <w:rPr>
          <w:rFonts w:ascii="Garamond" w:hAnsi="Garamond"/>
        </w:rPr>
        <w:t xml:space="preserve">formulation </w:t>
      </w:r>
      <w:r w:rsidR="00F475CD">
        <w:rPr>
          <w:rFonts w:ascii="Garamond" w:hAnsi="Garamond"/>
        </w:rPr>
        <w:t xml:space="preserve">and </w:t>
      </w:r>
      <w:r w:rsidR="004A5B5C">
        <w:rPr>
          <w:rFonts w:ascii="Garamond" w:hAnsi="Garamond"/>
        </w:rPr>
        <w:t>decision</w:t>
      </w:r>
      <w:r w:rsidR="00D537D2">
        <w:rPr>
          <w:rFonts w:ascii="Garamond" w:hAnsi="Garamond"/>
        </w:rPr>
        <w:t>-making</w:t>
      </w:r>
      <w:r w:rsidR="003B2807">
        <w:rPr>
          <w:rFonts w:ascii="Garamond" w:hAnsi="Garamond"/>
        </w:rPr>
        <w:t>, and the list goes on</w:t>
      </w:r>
      <w:r w:rsidR="00A33AD0">
        <w:rPr>
          <w:rFonts w:ascii="Garamond" w:hAnsi="Garamond"/>
        </w:rPr>
        <w:t>.</w:t>
      </w:r>
      <w:r w:rsidR="00967A0D">
        <w:rPr>
          <w:rStyle w:val="EndnoteReference"/>
          <w:rFonts w:ascii="Garamond" w:hAnsi="Garamond"/>
        </w:rPr>
        <w:endnoteReference w:id="80"/>
      </w:r>
      <w:r w:rsidR="00967A0D">
        <w:rPr>
          <w:rFonts w:ascii="Garamond" w:hAnsi="Garamond"/>
        </w:rPr>
        <w:t xml:space="preserve">  </w:t>
      </w:r>
      <w:r w:rsidR="003901F8">
        <w:rPr>
          <w:rFonts w:ascii="Garamond" w:hAnsi="Garamond"/>
        </w:rPr>
        <w:t>Th</w:t>
      </w:r>
      <w:r w:rsidR="003B2807">
        <w:rPr>
          <w:rFonts w:ascii="Garamond" w:hAnsi="Garamond"/>
        </w:rPr>
        <w:t xml:space="preserve">e existence of such powers </w:t>
      </w:r>
      <w:r w:rsidR="00B5353D">
        <w:rPr>
          <w:rFonts w:ascii="Garamond" w:hAnsi="Garamond"/>
        </w:rPr>
        <w:t xml:space="preserve">reflects </w:t>
      </w:r>
      <w:r w:rsidR="001862A0">
        <w:rPr>
          <w:rFonts w:ascii="Garamond" w:hAnsi="Garamond"/>
        </w:rPr>
        <w:t>central government’s</w:t>
      </w:r>
      <w:r w:rsidR="00B5353D">
        <w:rPr>
          <w:rFonts w:ascii="Garamond" w:hAnsi="Garamond"/>
        </w:rPr>
        <w:t xml:space="preserve"> historical </w:t>
      </w:r>
      <w:r w:rsidR="001862A0">
        <w:rPr>
          <w:rFonts w:ascii="Garamond" w:hAnsi="Garamond"/>
        </w:rPr>
        <w:t>importance</w:t>
      </w:r>
      <w:r w:rsidR="00B5353D">
        <w:rPr>
          <w:rFonts w:ascii="Garamond" w:hAnsi="Garamond"/>
        </w:rPr>
        <w:t xml:space="preserve"> in</w:t>
      </w:r>
      <w:r w:rsidR="005E4539">
        <w:rPr>
          <w:rFonts w:ascii="Garamond" w:hAnsi="Garamond"/>
        </w:rPr>
        <w:t xml:space="preserve"> </w:t>
      </w:r>
      <w:r w:rsidR="001862A0">
        <w:rPr>
          <w:rFonts w:ascii="Garamond" w:hAnsi="Garamond"/>
        </w:rPr>
        <w:t>securing consistency in the execution of national planning policy</w:t>
      </w:r>
      <w:r w:rsidR="00324A0B">
        <w:rPr>
          <w:rFonts w:ascii="Garamond" w:hAnsi="Garamond"/>
        </w:rPr>
        <w:t xml:space="preserve"> at the local level</w:t>
      </w:r>
      <w:r w:rsidR="001862A0">
        <w:rPr>
          <w:rFonts w:ascii="Garamond" w:hAnsi="Garamond"/>
        </w:rPr>
        <w:t>,</w:t>
      </w:r>
      <w:r w:rsidR="001862A0">
        <w:rPr>
          <w:rStyle w:val="EndnoteReference"/>
          <w:rFonts w:ascii="Garamond" w:hAnsi="Garamond"/>
        </w:rPr>
        <w:endnoteReference w:id="81"/>
      </w:r>
      <w:r w:rsidR="001862A0">
        <w:rPr>
          <w:rFonts w:ascii="Garamond" w:hAnsi="Garamond"/>
        </w:rPr>
        <w:t xml:space="preserve"> </w:t>
      </w:r>
      <w:r w:rsidR="00324A0B">
        <w:rPr>
          <w:rFonts w:ascii="Garamond" w:hAnsi="Garamond"/>
        </w:rPr>
        <w:t>as well as</w:t>
      </w:r>
      <w:r w:rsidR="003B6257">
        <w:rPr>
          <w:rFonts w:ascii="Garamond" w:hAnsi="Garamond"/>
        </w:rPr>
        <w:t xml:space="preserve"> </w:t>
      </w:r>
      <w:r w:rsidR="001862A0">
        <w:rPr>
          <w:rFonts w:ascii="Garamond" w:hAnsi="Garamond"/>
        </w:rPr>
        <w:t>its</w:t>
      </w:r>
      <w:r w:rsidR="005E4539">
        <w:rPr>
          <w:rFonts w:ascii="Garamond" w:hAnsi="Garamond"/>
        </w:rPr>
        <w:t xml:space="preserve"> </w:t>
      </w:r>
      <w:r w:rsidR="003B6257">
        <w:rPr>
          <w:rFonts w:ascii="Garamond" w:hAnsi="Garamond"/>
        </w:rPr>
        <w:t>continued</w:t>
      </w:r>
      <w:r w:rsidR="005E4539">
        <w:rPr>
          <w:rFonts w:ascii="Garamond" w:hAnsi="Garamond"/>
        </w:rPr>
        <w:t xml:space="preserve"> </w:t>
      </w:r>
      <w:r w:rsidR="001862A0">
        <w:rPr>
          <w:rFonts w:ascii="Garamond" w:hAnsi="Garamond"/>
        </w:rPr>
        <w:t xml:space="preserve">role in providing strategic </w:t>
      </w:r>
      <w:r w:rsidR="001B2415">
        <w:rPr>
          <w:rFonts w:ascii="Garamond" w:hAnsi="Garamond"/>
        </w:rPr>
        <w:t xml:space="preserve">direction, </w:t>
      </w:r>
      <w:r w:rsidR="001862A0">
        <w:rPr>
          <w:rFonts w:ascii="Garamond" w:hAnsi="Garamond"/>
        </w:rPr>
        <w:t xml:space="preserve">oversight </w:t>
      </w:r>
      <w:r w:rsidR="00AB7FB6">
        <w:rPr>
          <w:rFonts w:ascii="Garamond" w:hAnsi="Garamond"/>
        </w:rPr>
        <w:t>and co-ordination across</w:t>
      </w:r>
      <w:r w:rsidR="001862A0">
        <w:rPr>
          <w:rFonts w:ascii="Garamond" w:hAnsi="Garamond"/>
        </w:rPr>
        <w:t xml:space="preserve"> the planning system</w:t>
      </w:r>
      <w:r w:rsidR="005E4539">
        <w:rPr>
          <w:rFonts w:ascii="Garamond" w:hAnsi="Garamond"/>
        </w:rPr>
        <w:t>.</w:t>
      </w:r>
      <w:r w:rsidR="005E4539">
        <w:rPr>
          <w:rStyle w:val="EndnoteReference"/>
          <w:rFonts w:ascii="Garamond" w:hAnsi="Garamond"/>
        </w:rPr>
        <w:endnoteReference w:id="82"/>
      </w:r>
      <w:r w:rsidR="00300AE4">
        <w:rPr>
          <w:rFonts w:ascii="Garamond" w:hAnsi="Garamond"/>
        </w:rPr>
        <w:t xml:space="preserve">  It explains why the </w:t>
      </w:r>
      <w:r w:rsidR="00BF0681">
        <w:rPr>
          <w:rFonts w:ascii="Garamond" w:hAnsi="Garamond"/>
        </w:rPr>
        <w:t xml:space="preserve">planning </w:t>
      </w:r>
      <w:r w:rsidR="00300AE4">
        <w:rPr>
          <w:rFonts w:ascii="Garamond" w:hAnsi="Garamond"/>
        </w:rPr>
        <w:t>system has been described as</w:t>
      </w:r>
      <w:r w:rsidR="00F6186B">
        <w:rPr>
          <w:rFonts w:ascii="Garamond" w:hAnsi="Garamond"/>
        </w:rPr>
        <w:t xml:space="preserve"> </w:t>
      </w:r>
      <w:r w:rsidR="00300AE4">
        <w:rPr>
          <w:rFonts w:ascii="Garamond" w:hAnsi="Garamond"/>
        </w:rPr>
        <w:t>hierarchical,</w:t>
      </w:r>
      <w:r w:rsidR="00300AE4">
        <w:rPr>
          <w:rStyle w:val="EndnoteReference"/>
          <w:rFonts w:ascii="Garamond" w:hAnsi="Garamond"/>
        </w:rPr>
        <w:endnoteReference w:id="83"/>
      </w:r>
      <w:r w:rsidR="00300AE4">
        <w:rPr>
          <w:rFonts w:ascii="Garamond" w:hAnsi="Garamond"/>
        </w:rPr>
        <w:t xml:space="preserve"> because although</w:t>
      </w:r>
      <w:r w:rsidR="00047100">
        <w:rPr>
          <w:rFonts w:ascii="Garamond" w:hAnsi="Garamond"/>
        </w:rPr>
        <w:t xml:space="preserve"> </w:t>
      </w:r>
      <w:r w:rsidR="00300AE4">
        <w:rPr>
          <w:rFonts w:ascii="Garamond" w:hAnsi="Garamond"/>
        </w:rPr>
        <w:t>l</w:t>
      </w:r>
      <w:r w:rsidR="00047100">
        <w:rPr>
          <w:rFonts w:ascii="Garamond" w:hAnsi="Garamond"/>
        </w:rPr>
        <w:t xml:space="preserve">ocal planning authorities operate with a degree of autonomy, that autonomy is </w:t>
      </w:r>
      <w:r w:rsidR="00BF0681">
        <w:rPr>
          <w:rFonts w:ascii="Garamond" w:hAnsi="Garamond"/>
        </w:rPr>
        <w:t>restricted</w:t>
      </w:r>
      <w:r w:rsidR="00047100">
        <w:rPr>
          <w:rFonts w:ascii="Garamond" w:hAnsi="Garamond"/>
        </w:rPr>
        <w:t xml:space="preserve"> by parameters set </w:t>
      </w:r>
      <w:r w:rsidR="00A271F4">
        <w:rPr>
          <w:rFonts w:ascii="Garamond" w:hAnsi="Garamond"/>
        </w:rPr>
        <w:t>centrally</w:t>
      </w:r>
      <w:r w:rsidR="00300AE4">
        <w:rPr>
          <w:rFonts w:ascii="Garamond" w:hAnsi="Garamond"/>
        </w:rPr>
        <w:t>.</w:t>
      </w:r>
    </w:p>
    <w:p w14:paraId="55428BB1" w14:textId="115BA1FD" w:rsidR="003B6257" w:rsidRDefault="003B6257" w:rsidP="00E72458">
      <w:pPr>
        <w:spacing w:line="360" w:lineRule="auto"/>
        <w:rPr>
          <w:rFonts w:ascii="Garamond" w:hAnsi="Garamond"/>
        </w:rPr>
      </w:pPr>
    </w:p>
    <w:p w14:paraId="466FBE41" w14:textId="6C1173E0" w:rsidR="00593CBB" w:rsidRDefault="007A2802" w:rsidP="00E72458">
      <w:pPr>
        <w:spacing w:line="360" w:lineRule="auto"/>
        <w:rPr>
          <w:rFonts w:ascii="Garamond" w:hAnsi="Garamond"/>
        </w:rPr>
      </w:pPr>
      <w:r>
        <w:rPr>
          <w:rFonts w:ascii="Garamond" w:hAnsi="Garamond"/>
        </w:rPr>
        <w:t>My focus here is on one aspect of central government intervention: the ability of the Secretary of State to exercise jurisdiction over individual decisions, by ‘calling-in’ planning applications</w:t>
      </w:r>
      <w:r>
        <w:rPr>
          <w:rStyle w:val="EndnoteReference"/>
          <w:rFonts w:ascii="Garamond" w:hAnsi="Garamond"/>
        </w:rPr>
        <w:endnoteReference w:id="84"/>
      </w:r>
      <w:r>
        <w:rPr>
          <w:rFonts w:ascii="Garamond" w:hAnsi="Garamond"/>
        </w:rPr>
        <w:t xml:space="preserve"> and ‘recovering’ planning appeals</w:t>
      </w:r>
      <w:r>
        <w:rPr>
          <w:rStyle w:val="EndnoteReference"/>
          <w:rFonts w:ascii="Garamond" w:hAnsi="Garamond"/>
        </w:rPr>
        <w:endnoteReference w:id="85"/>
      </w:r>
      <w:r>
        <w:rPr>
          <w:rFonts w:ascii="Garamond" w:hAnsi="Garamond"/>
        </w:rPr>
        <w:t xml:space="preserve"> for her own determination.  </w:t>
      </w:r>
      <w:r w:rsidR="00293610">
        <w:rPr>
          <w:rFonts w:ascii="Garamond" w:hAnsi="Garamond"/>
        </w:rPr>
        <w:t xml:space="preserve">It may seem odd to include </w:t>
      </w:r>
      <w:r w:rsidR="006C7EB0">
        <w:rPr>
          <w:rFonts w:ascii="Garamond" w:hAnsi="Garamond"/>
        </w:rPr>
        <w:t>this example</w:t>
      </w:r>
      <w:r w:rsidR="00293610">
        <w:rPr>
          <w:rFonts w:ascii="Garamond" w:hAnsi="Garamond"/>
        </w:rPr>
        <w:t xml:space="preserve"> at all, given that the powers of call-in and recovery are intended to be used only sparingly.</w:t>
      </w:r>
      <w:r w:rsidR="00507BE3">
        <w:rPr>
          <w:rFonts w:ascii="Garamond" w:hAnsi="Garamond"/>
        </w:rPr>
        <w:t xml:space="preserve">  In the vast majority of cases, planning applications </w:t>
      </w:r>
      <w:r w:rsidR="00293610">
        <w:rPr>
          <w:rFonts w:ascii="Garamond" w:hAnsi="Garamond"/>
        </w:rPr>
        <w:t>are determined by the local planning authority</w:t>
      </w:r>
      <w:r w:rsidR="00507BE3">
        <w:rPr>
          <w:rFonts w:ascii="Garamond" w:hAnsi="Garamond"/>
        </w:rPr>
        <w:t>,</w:t>
      </w:r>
      <w:r w:rsidR="00293610">
        <w:rPr>
          <w:rStyle w:val="EndnoteReference"/>
          <w:rFonts w:ascii="Garamond" w:hAnsi="Garamond"/>
        </w:rPr>
        <w:endnoteReference w:id="86"/>
      </w:r>
      <w:r w:rsidR="00507BE3">
        <w:rPr>
          <w:rFonts w:ascii="Garamond" w:hAnsi="Garamond"/>
        </w:rPr>
        <w:t xml:space="preserve"> and</w:t>
      </w:r>
      <w:r w:rsidR="00293610">
        <w:rPr>
          <w:rFonts w:ascii="Garamond" w:hAnsi="Garamond"/>
        </w:rPr>
        <w:t xml:space="preserve"> appeals </w:t>
      </w:r>
      <w:r w:rsidR="00636033">
        <w:rPr>
          <w:rFonts w:ascii="Garamond" w:hAnsi="Garamond"/>
        </w:rPr>
        <w:t xml:space="preserve">are determined </w:t>
      </w:r>
      <w:r w:rsidR="00293610">
        <w:rPr>
          <w:rFonts w:ascii="Garamond" w:hAnsi="Garamond"/>
        </w:rPr>
        <w:t>by the planning inspectorate</w:t>
      </w:r>
      <w:r w:rsidR="00507BE3">
        <w:rPr>
          <w:rFonts w:ascii="Garamond" w:hAnsi="Garamond"/>
        </w:rPr>
        <w:t>.</w:t>
      </w:r>
      <w:r w:rsidR="00293610">
        <w:rPr>
          <w:rStyle w:val="EndnoteReference"/>
          <w:rFonts w:ascii="Garamond" w:hAnsi="Garamond"/>
        </w:rPr>
        <w:endnoteReference w:id="87"/>
      </w:r>
      <w:r w:rsidR="00507BE3">
        <w:rPr>
          <w:rFonts w:ascii="Garamond" w:hAnsi="Garamond"/>
        </w:rPr>
        <w:t xml:space="preserve">  Even at </w:t>
      </w:r>
      <w:r w:rsidR="00D50C1E">
        <w:rPr>
          <w:rFonts w:ascii="Garamond" w:hAnsi="Garamond"/>
        </w:rPr>
        <w:t xml:space="preserve">its </w:t>
      </w:r>
      <w:r w:rsidR="00B001D6">
        <w:rPr>
          <w:rFonts w:ascii="Garamond" w:hAnsi="Garamond"/>
        </w:rPr>
        <w:t>height,</w:t>
      </w:r>
      <w:r w:rsidR="00507BE3">
        <w:rPr>
          <w:rFonts w:ascii="Garamond" w:hAnsi="Garamond"/>
        </w:rPr>
        <w:t xml:space="preserve"> </w:t>
      </w:r>
      <w:r w:rsidR="00D50C1E">
        <w:rPr>
          <w:rFonts w:ascii="Garamond" w:hAnsi="Garamond"/>
        </w:rPr>
        <w:t>the overall proportion of</w:t>
      </w:r>
      <w:r w:rsidR="002C708F">
        <w:rPr>
          <w:rFonts w:ascii="Garamond" w:hAnsi="Garamond"/>
        </w:rPr>
        <w:t xml:space="preserve"> called-in </w:t>
      </w:r>
      <w:r w:rsidR="00002743">
        <w:rPr>
          <w:rFonts w:ascii="Garamond" w:hAnsi="Garamond"/>
        </w:rPr>
        <w:t xml:space="preserve">applications </w:t>
      </w:r>
      <w:r w:rsidR="002C708F">
        <w:rPr>
          <w:rFonts w:ascii="Garamond" w:hAnsi="Garamond"/>
        </w:rPr>
        <w:t xml:space="preserve">and appeals recovered by the Secretary of State </w:t>
      </w:r>
      <w:r w:rsidR="00D50C1E">
        <w:rPr>
          <w:rFonts w:ascii="Garamond" w:hAnsi="Garamond"/>
        </w:rPr>
        <w:t>has been small.</w:t>
      </w:r>
      <w:r w:rsidR="008A4E9F">
        <w:rPr>
          <w:rFonts w:ascii="Garamond" w:hAnsi="Garamond"/>
        </w:rPr>
        <w:t xml:space="preserve">  The data reveal a more complicated picture</w:t>
      </w:r>
      <w:r w:rsidR="00593CBB">
        <w:rPr>
          <w:rFonts w:ascii="Garamond" w:hAnsi="Garamond"/>
        </w:rPr>
        <w:t xml:space="preserve"> – f</w:t>
      </w:r>
      <w:r w:rsidR="00735AED">
        <w:rPr>
          <w:rFonts w:ascii="Garamond" w:hAnsi="Garamond"/>
        </w:rPr>
        <w:t xml:space="preserve">or instance, </w:t>
      </w:r>
      <w:r w:rsidR="00AE60C4">
        <w:rPr>
          <w:rFonts w:ascii="Garamond" w:hAnsi="Garamond"/>
        </w:rPr>
        <w:t xml:space="preserve">ministerial intervention has a higher prevalence </w:t>
      </w:r>
      <w:r w:rsidR="00593CBB">
        <w:rPr>
          <w:rFonts w:ascii="Garamond" w:hAnsi="Garamond"/>
        </w:rPr>
        <w:t>in respect of certain types of development (e.g. onshore wind turbines),</w:t>
      </w:r>
      <w:r w:rsidR="002037A5">
        <w:rPr>
          <w:rStyle w:val="EndnoteReference"/>
          <w:rFonts w:ascii="Garamond" w:hAnsi="Garamond"/>
        </w:rPr>
        <w:endnoteReference w:id="88"/>
      </w:r>
      <w:r w:rsidR="00593CBB">
        <w:rPr>
          <w:rFonts w:ascii="Garamond" w:hAnsi="Garamond"/>
        </w:rPr>
        <w:t xml:space="preserve"> in certain local authority areas (e.g. marginal constituencies)</w:t>
      </w:r>
      <w:r w:rsidR="004B1012">
        <w:rPr>
          <w:rFonts w:ascii="Garamond" w:hAnsi="Garamond"/>
        </w:rPr>
        <w:t>,</w:t>
      </w:r>
      <w:r w:rsidR="002037A5">
        <w:rPr>
          <w:rStyle w:val="EndnoteReference"/>
          <w:rFonts w:ascii="Garamond" w:hAnsi="Garamond"/>
        </w:rPr>
        <w:endnoteReference w:id="89"/>
      </w:r>
      <w:r w:rsidR="00593CBB">
        <w:rPr>
          <w:rFonts w:ascii="Garamond" w:hAnsi="Garamond"/>
        </w:rPr>
        <w:t xml:space="preserve"> at certain times (e.g. during political instability)</w:t>
      </w:r>
      <w:r w:rsidR="004B1012">
        <w:rPr>
          <w:rFonts w:ascii="Garamond" w:hAnsi="Garamond"/>
        </w:rPr>
        <w:t>,</w:t>
      </w:r>
      <w:r w:rsidR="004B1012">
        <w:rPr>
          <w:rStyle w:val="EndnoteReference"/>
          <w:rFonts w:ascii="Garamond" w:hAnsi="Garamond"/>
        </w:rPr>
        <w:endnoteReference w:id="90"/>
      </w:r>
      <w:r w:rsidR="004B1012">
        <w:rPr>
          <w:rFonts w:ascii="Garamond" w:hAnsi="Garamond"/>
        </w:rPr>
        <w:t xml:space="preserve"> and under certain styles of leadership.</w:t>
      </w:r>
      <w:r w:rsidR="004B1012">
        <w:rPr>
          <w:rStyle w:val="EndnoteReference"/>
          <w:rFonts w:ascii="Garamond" w:hAnsi="Garamond"/>
        </w:rPr>
        <w:endnoteReference w:id="91"/>
      </w:r>
      <w:r w:rsidR="00945288">
        <w:rPr>
          <w:rFonts w:ascii="Garamond" w:hAnsi="Garamond"/>
        </w:rPr>
        <w:t xml:space="preserve">  </w:t>
      </w:r>
      <w:r w:rsidR="00D50C1E">
        <w:rPr>
          <w:rFonts w:ascii="Garamond" w:hAnsi="Garamond"/>
        </w:rPr>
        <w:t>Altogether, though,</w:t>
      </w:r>
      <w:r w:rsidR="00945288">
        <w:rPr>
          <w:rFonts w:ascii="Garamond" w:hAnsi="Garamond"/>
        </w:rPr>
        <w:t xml:space="preserve"> the incidence of call-in and recovery is low</w:t>
      </w:r>
      <w:r w:rsidR="00AA4F12">
        <w:rPr>
          <w:rFonts w:ascii="Garamond" w:hAnsi="Garamond"/>
        </w:rPr>
        <w:t>,</w:t>
      </w:r>
      <w:r w:rsidR="00945288">
        <w:rPr>
          <w:rFonts w:ascii="Garamond" w:hAnsi="Garamond"/>
        </w:rPr>
        <w:t xml:space="preserve"> and</w:t>
      </w:r>
      <w:r w:rsidR="004F5222">
        <w:rPr>
          <w:rFonts w:ascii="Garamond" w:hAnsi="Garamond"/>
        </w:rPr>
        <w:t xml:space="preserve"> </w:t>
      </w:r>
      <w:r w:rsidR="00AA4F12">
        <w:rPr>
          <w:rFonts w:ascii="Garamond" w:hAnsi="Garamond"/>
        </w:rPr>
        <w:t xml:space="preserve">the Secretary of State’s </w:t>
      </w:r>
      <w:r w:rsidR="00805CD2">
        <w:rPr>
          <w:rFonts w:ascii="Garamond" w:hAnsi="Garamond"/>
        </w:rPr>
        <w:t>invocation of</w:t>
      </w:r>
      <w:r w:rsidR="00AA4F12">
        <w:rPr>
          <w:rFonts w:ascii="Garamond" w:hAnsi="Garamond"/>
        </w:rPr>
        <w:t xml:space="preserve"> </w:t>
      </w:r>
      <w:r w:rsidR="00805CD2">
        <w:rPr>
          <w:rFonts w:ascii="Garamond" w:hAnsi="Garamond"/>
        </w:rPr>
        <w:t>those powers</w:t>
      </w:r>
      <w:r w:rsidR="00AA4F12">
        <w:rPr>
          <w:rFonts w:ascii="Garamond" w:hAnsi="Garamond"/>
        </w:rPr>
        <w:t xml:space="preserve"> has </w:t>
      </w:r>
      <w:r w:rsidR="001A6655">
        <w:rPr>
          <w:rFonts w:ascii="Garamond" w:hAnsi="Garamond"/>
        </w:rPr>
        <w:t>aroused little academic interest</w:t>
      </w:r>
      <w:r w:rsidR="00AA4F12">
        <w:rPr>
          <w:rFonts w:ascii="Garamond" w:hAnsi="Garamond"/>
        </w:rPr>
        <w:t>, among either lawyers or planners,</w:t>
      </w:r>
      <w:r w:rsidR="001A6655">
        <w:rPr>
          <w:rFonts w:ascii="Garamond" w:hAnsi="Garamond"/>
        </w:rPr>
        <w:t xml:space="preserve"> except as a general indication of </w:t>
      </w:r>
      <w:r w:rsidR="00DE1300">
        <w:rPr>
          <w:rFonts w:ascii="Garamond" w:hAnsi="Garamond"/>
        </w:rPr>
        <w:t xml:space="preserve">the </w:t>
      </w:r>
      <w:r w:rsidR="001A6655">
        <w:rPr>
          <w:rFonts w:ascii="Garamond" w:hAnsi="Garamond"/>
        </w:rPr>
        <w:t>relations</w:t>
      </w:r>
      <w:r w:rsidR="00DE1300">
        <w:rPr>
          <w:rFonts w:ascii="Garamond" w:hAnsi="Garamond"/>
        </w:rPr>
        <w:t>hip</w:t>
      </w:r>
      <w:r w:rsidR="001A6655">
        <w:rPr>
          <w:rFonts w:ascii="Garamond" w:hAnsi="Garamond"/>
        </w:rPr>
        <w:t xml:space="preserve"> between central and local government.</w:t>
      </w:r>
    </w:p>
    <w:p w14:paraId="20D54CA3" w14:textId="31E9DD4A" w:rsidR="005A461B" w:rsidRDefault="005A461B" w:rsidP="00E72458">
      <w:pPr>
        <w:spacing w:line="360" w:lineRule="auto"/>
        <w:rPr>
          <w:rFonts w:ascii="Garamond" w:hAnsi="Garamond"/>
        </w:rPr>
      </w:pPr>
    </w:p>
    <w:p w14:paraId="42FDF3DF" w14:textId="4EE5BE0B" w:rsidR="001F47B8" w:rsidRDefault="006974F4" w:rsidP="00E72458">
      <w:pPr>
        <w:spacing w:line="360" w:lineRule="auto"/>
        <w:rPr>
          <w:rFonts w:ascii="Garamond" w:hAnsi="Garamond"/>
        </w:rPr>
      </w:pPr>
      <w:r>
        <w:rPr>
          <w:rFonts w:ascii="Garamond" w:hAnsi="Garamond"/>
        </w:rPr>
        <w:t xml:space="preserve">The reason that </w:t>
      </w:r>
      <w:r w:rsidR="003D7363">
        <w:rPr>
          <w:rFonts w:ascii="Garamond" w:hAnsi="Garamond"/>
        </w:rPr>
        <w:t xml:space="preserve">call-in and recovery are </w:t>
      </w:r>
      <w:r w:rsidR="000C6731">
        <w:rPr>
          <w:rFonts w:ascii="Garamond" w:hAnsi="Garamond"/>
        </w:rPr>
        <w:t>viewed</w:t>
      </w:r>
      <w:r w:rsidR="003D7363">
        <w:rPr>
          <w:rFonts w:ascii="Garamond" w:hAnsi="Garamond"/>
        </w:rPr>
        <w:t xml:space="preserve"> </w:t>
      </w:r>
      <w:r>
        <w:rPr>
          <w:rFonts w:ascii="Garamond" w:hAnsi="Garamond"/>
        </w:rPr>
        <w:t>in this manner</w:t>
      </w:r>
      <w:r w:rsidR="002F2248">
        <w:rPr>
          <w:rFonts w:ascii="Garamond" w:hAnsi="Garamond"/>
        </w:rPr>
        <w:t xml:space="preserve"> – </w:t>
      </w:r>
      <w:r w:rsidR="00DE1300">
        <w:rPr>
          <w:rFonts w:ascii="Garamond" w:hAnsi="Garamond"/>
        </w:rPr>
        <w:t xml:space="preserve">as a proxy for central-local relations </w:t>
      </w:r>
      <w:r w:rsidR="002F2248">
        <w:rPr>
          <w:rFonts w:ascii="Garamond" w:hAnsi="Garamond"/>
        </w:rPr>
        <w:t xml:space="preserve">– </w:t>
      </w:r>
      <w:r w:rsidR="003D7363">
        <w:rPr>
          <w:rFonts w:ascii="Garamond" w:hAnsi="Garamond"/>
        </w:rPr>
        <w:t>is that they</w:t>
      </w:r>
      <w:r w:rsidR="00E80A60">
        <w:rPr>
          <w:rFonts w:ascii="Garamond" w:hAnsi="Garamond"/>
        </w:rPr>
        <w:t xml:space="preserve"> </w:t>
      </w:r>
      <w:r w:rsidR="008423FA">
        <w:rPr>
          <w:rFonts w:ascii="Garamond" w:hAnsi="Garamond"/>
        </w:rPr>
        <w:t>represent a challenge</w:t>
      </w:r>
      <w:r w:rsidR="00C06694">
        <w:rPr>
          <w:rFonts w:ascii="Garamond" w:hAnsi="Garamond"/>
        </w:rPr>
        <w:t>,</w:t>
      </w:r>
      <w:r w:rsidR="009B35BF">
        <w:rPr>
          <w:rFonts w:ascii="Garamond" w:hAnsi="Garamond"/>
        </w:rPr>
        <w:t xml:space="preserve"> or inconvenience</w:t>
      </w:r>
      <w:r w:rsidR="00C06694">
        <w:rPr>
          <w:rFonts w:ascii="Garamond" w:hAnsi="Garamond"/>
        </w:rPr>
        <w:t>,</w:t>
      </w:r>
      <w:r w:rsidR="008423FA">
        <w:rPr>
          <w:rFonts w:ascii="Garamond" w:hAnsi="Garamond"/>
        </w:rPr>
        <w:t xml:space="preserve"> to the </w:t>
      </w:r>
      <w:r w:rsidR="009B35BF">
        <w:rPr>
          <w:rFonts w:ascii="Garamond" w:hAnsi="Garamond"/>
        </w:rPr>
        <w:t>general organising principle that planning decisions are to be taken</w:t>
      </w:r>
      <w:r w:rsidR="00E372F0">
        <w:rPr>
          <w:rFonts w:ascii="Garamond" w:hAnsi="Garamond"/>
        </w:rPr>
        <w:t xml:space="preserve"> </w:t>
      </w:r>
      <w:r w:rsidR="009B35BF">
        <w:rPr>
          <w:rFonts w:ascii="Garamond" w:hAnsi="Garamond"/>
        </w:rPr>
        <w:t>at the lowest level</w:t>
      </w:r>
      <w:r w:rsidR="00A13344">
        <w:rPr>
          <w:rFonts w:ascii="Garamond" w:hAnsi="Garamond"/>
        </w:rPr>
        <w:t xml:space="preserve"> possible</w:t>
      </w:r>
      <w:r w:rsidR="00DC7A1B">
        <w:rPr>
          <w:rFonts w:ascii="Garamond" w:hAnsi="Garamond"/>
        </w:rPr>
        <w:t>.</w:t>
      </w:r>
      <w:r w:rsidR="00AE6A2E">
        <w:rPr>
          <w:rStyle w:val="EndnoteReference"/>
          <w:rFonts w:ascii="Garamond" w:hAnsi="Garamond"/>
        </w:rPr>
        <w:endnoteReference w:id="92"/>
      </w:r>
      <w:r w:rsidR="00C74E64">
        <w:rPr>
          <w:rFonts w:ascii="Garamond" w:hAnsi="Garamond"/>
        </w:rPr>
        <w:t xml:space="preserve">  Quite understandably, </w:t>
      </w:r>
      <w:r w:rsidR="0063679E">
        <w:rPr>
          <w:rFonts w:ascii="Garamond" w:hAnsi="Garamond"/>
        </w:rPr>
        <w:t>ministerial intervention</w:t>
      </w:r>
      <w:r w:rsidR="00C1393A">
        <w:rPr>
          <w:rFonts w:ascii="Garamond" w:hAnsi="Garamond"/>
        </w:rPr>
        <w:t xml:space="preserve"> </w:t>
      </w:r>
      <w:r w:rsidR="00B257FE">
        <w:rPr>
          <w:rFonts w:ascii="Garamond" w:hAnsi="Garamond"/>
        </w:rPr>
        <w:t xml:space="preserve">in planning decisions </w:t>
      </w:r>
      <w:r w:rsidR="00C74E64">
        <w:rPr>
          <w:rFonts w:ascii="Garamond" w:hAnsi="Garamond"/>
        </w:rPr>
        <w:t>raise</w:t>
      </w:r>
      <w:r w:rsidR="000B0228">
        <w:rPr>
          <w:rFonts w:ascii="Garamond" w:hAnsi="Garamond"/>
        </w:rPr>
        <w:t>s</w:t>
      </w:r>
      <w:r w:rsidR="00C74E64">
        <w:rPr>
          <w:rFonts w:ascii="Garamond" w:hAnsi="Garamond"/>
        </w:rPr>
        <w:t xml:space="preserve"> questions about the </w:t>
      </w:r>
      <w:r w:rsidR="00C1393A">
        <w:rPr>
          <w:rFonts w:ascii="Garamond" w:hAnsi="Garamond"/>
        </w:rPr>
        <w:t xml:space="preserve">appropriate </w:t>
      </w:r>
      <w:r w:rsidR="0063679E">
        <w:rPr>
          <w:rFonts w:ascii="Garamond" w:hAnsi="Garamond"/>
        </w:rPr>
        <w:t>balance of power</w:t>
      </w:r>
      <w:r w:rsidR="001D6925">
        <w:rPr>
          <w:rFonts w:ascii="Garamond" w:hAnsi="Garamond"/>
        </w:rPr>
        <w:t xml:space="preserve"> in the planning process</w:t>
      </w:r>
      <w:r w:rsidR="003635EB">
        <w:rPr>
          <w:rFonts w:ascii="Garamond" w:hAnsi="Garamond"/>
        </w:rPr>
        <w:t>,</w:t>
      </w:r>
      <w:r w:rsidR="0063679E">
        <w:rPr>
          <w:rFonts w:ascii="Garamond" w:hAnsi="Garamond"/>
        </w:rPr>
        <w:t xml:space="preserve"> and</w:t>
      </w:r>
      <w:r w:rsidR="000B0228">
        <w:rPr>
          <w:rFonts w:ascii="Garamond" w:hAnsi="Garamond"/>
        </w:rPr>
        <w:t xml:space="preserve"> </w:t>
      </w:r>
      <w:r w:rsidR="00786E02">
        <w:rPr>
          <w:rFonts w:ascii="Garamond" w:hAnsi="Garamond"/>
        </w:rPr>
        <w:t>meets</w:t>
      </w:r>
      <w:r w:rsidR="003635EB">
        <w:rPr>
          <w:rFonts w:ascii="Garamond" w:hAnsi="Garamond"/>
        </w:rPr>
        <w:t xml:space="preserve"> with</w:t>
      </w:r>
      <w:r w:rsidR="00C1393A">
        <w:rPr>
          <w:rFonts w:ascii="Garamond" w:hAnsi="Garamond"/>
        </w:rPr>
        <w:t xml:space="preserve"> strong</w:t>
      </w:r>
      <w:r w:rsidR="003635EB">
        <w:rPr>
          <w:rFonts w:ascii="Garamond" w:hAnsi="Garamond"/>
        </w:rPr>
        <w:t xml:space="preserve"> </w:t>
      </w:r>
      <w:r w:rsidR="00C1393A">
        <w:rPr>
          <w:rFonts w:ascii="Garamond" w:hAnsi="Garamond"/>
        </w:rPr>
        <w:t xml:space="preserve">criticism when </w:t>
      </w:r>
      <w:r w:rsidR="003635EB">
        <w:rPr>
          <w:rFonts w:ascii="Garamond" w:hAnsi="Garamond"/>
        </w:rPr>
        <w:t xml:space="preserve">the balance </w:t>
      </w:r>
      <w:r w:rsidR="00C1393A">
        <w:rPr>
          <w:rFonts w:ascii="Garamond" w:hAnsi="Garamond"/>
        </w:rPr>
        <w:t>is felt to have</w:t>
      </w:r>
      <w:r w:rsidR="003635EB">
        <w:rPr>
          <w:rFonts w:ascii="Garamond" w:hAnsi="Garamond"/>
        </w:rPr>
        <w:t xml:space="preserve"> tipped too much in the direction of central government.</w:t>
      </w:r>
      <w:r w:rsidR="00C1393A">
        <w:rPr>
          <w:rStyle w:val="EndnoteReference"/>
          <w:rFonts w:ascii="Garamond" w:hAnsi="Garamond"/>
        </w:rPr>
        <w:endnoteReference w:id="93"/>
      </w:r>
      <w:r w:rsidR="00612C20">
        <w:rPr>
          <w:rFonts w:ascii="Garamond" w:hAnsi="Garamond"/>
        </w:rPr>
        <w:t xml:space="preserve">  </w:t>
      </w:r>
      <w:r w:rsidR="00655EB6">
        <w:rPr>
          <w:rFonts w:ascii="Garamond" w:hAnsi="Garamond"/>
        </w:rPr>
        <w:t>This has</w:t>
      </w:r>
      <w:r w:rsidR="005B3BA3">
        <w:rPr>
          <w:rFonts w:ascii="Garamond" w:hAnsi="Garamond"/>
        </w:rPr>
        <w:t xml:space="preserve"> </w:t>
      </w:r>
      <w:r w:rsidR="00655EB6">
        <w:rPr>
          <w:rFonts w:ascii="Garamond" w:hAnsi="Garamond"/>
        </w:rPr>
        <w:t>intensified</w:t>
      </w:r>
      <w:r w:rsidR="00612C20">
        <w:rPr>
          <w:rFonts w:ascii="Garamond" w:hAnsi="Garamond"/>
        </w:rPr>
        <w:t xml:space="preserve"> in recent years</w:t>
      </w:r>
      <w:r w:rsidR="00067E46">
        <w:rPr>
          <w:rFonts w:ascii="Garamond" w:hAnsi="Garamond"/>
        </w:rPr>
        <w:t xml:space="preserve">, </w:t>
      </w:r>
      <w:r w:rsidR="005B3BA3">
        <w:rPr>
          <w:rFonts w:ascii="Garamond" w:hAnsi="Garamond"/>
        </w:rPr>
        <w:t>following the passage of the Localism Act 2011</w:t>
      </w:r>
      <w:r w:rsidR="00900D9D">
        <w:rPr>
          <w:rFonts w:ascii="Garamond" w:hAnsi="Garamond"/>
        </w:rPr>
        <w:t xml:space="preserve"> and repeated calls for call-in and recovery to be used only in exceptional circumstances</w:t>
      </w:r>
      <w:r w:rsidR="00023EA3">
        <w:rPr>
          <w:rFonts w:ascii="Garamond" w:hAnsi="Garamond"/>
        </w:rPr>
        <w:t>,</w:t>
      </w:r>
      <w:r w:rsidR="00900D9D">
        <w:rPr>
          <w:rFonts w:ascii="Garamond" w:hAnsi="Garamond"/>
        </w:rPr>
        <w:t xml:space="preserve"> for cases</w:t>
      </w:r>
      <w:r w:rsidR="00023EA3">
        <w:rPr>
          <w:rFonts w:ascii="Garamond" w:hAnsi="Garamond"/>
        </w:rPr>
        <w:t xml:space="preserve"> involving</w:t>
      </w:r>
      <w:r w:rsidR="00900D9D">
        <w:rPr>
          <w:rFonts w:ascii="Garamond" w:hAnsi="Garamond"/>
        </w:rPr>
        <w:t xml:space="preserve"> significant national or wider than local issues.</w:t>
      </w:r>
      <w:r w:rsidR="00900D9D">
        <w:rPr>
          <w:rStyle w:val="EndnoteReference"/>
          <w:rFonts w:ascii="Garamond" w:hAnsi="Garamond"/>
        </w:rPr>
        <w:endnoteReference w:id="94"/>
      </w:r>
      <w:r w:rsidR="007A2802">
        <w:rPr>
          <w:rFonts w:ascii="Garamond" w:hAnsi="Garamond"/>
        </w:rPr>
        <w:t xml:space="preserve">  </w:t>
      </w:r>
      <w:r w:rsidR="006C7EB0">
        <w:rPr>
          <w:rFonts w:ascii="Garamond" w:hAnsi="Garamond"/>
        </w:rPr>
        <w:t xml:space="preserve">Controversy surrounding </w:t>
      </w:r>
      <w:r w:rsidR="007A2802">
        <w:rPr>
          <w:rFonts w:ascii="Garamond" w:hAnsi="Garamond"/>
        </w:rPr>
        <w:t>ministerial intervention</w:t>
      </w:r>
      <w:r w:rsidR="006C7EB0">
        <w:rPr>
          <w:rFonts w:ascii="Garamond" w:hAnsi="Garamond"/>
        </w:rPr>
        <w:t xml:space="preserve"> is seen as </w:t>
      </w:r>
      <w:r w:rsidR="007A2802">
        <w:rPr>
          <w:rFonts w:ascii="Garamond" w:hAnsi="Garamond"/>
        </w:rPr>
        <w:t>epitomising</w:t>
      </w:r>
      <w:r w:rsidR="0032082D">
        <w:rPr>
          <w:rFonts w:ascii="Garamond" w:hAnsi="Garamond"/>
        </w:rPr>
        <w:t xml:space="preserve"> a deep tension in the scalar logics</w:t>
      </w:r>
      <w:r w:rsidR="00EA7496">
        <w:rPr>
          <w:rFonts w:ascii="Garamond" w:hAnsi="Garamond"/>
        </w:rPr>
        <w:t xml:space="preserve"> of planning, in particular the ‘vertical topography of power’</w:t>
      </w:r>
      <w:r w:rsidR="003A586B">
        <w:rPr>
          <w:rStyle w:val="EndnoteReference"/>
          <w:rFonts w:ascii="Garamond" w:hAnsi="Garamond"/>
        </w:rPr>
        <w:endnoteReference w:id="95"/>
      </w:r>
      <w:r w:rsidR="003B72BA">
        <w:rPr>
          <w:rFonts w:ascii="Garamond" w:hAnsi="Garamond"/>
        </w:rPr>
        <w:t xml:space="preserve"> and the difficulties </w:t>
      </w:r>
      <w:r w:rsidR="003A586B">
        <w:rPr>
          <w:rFonts w:ascii="Garamond" w:hAnsi="Garamond"/>
        </w:rPr>
        <w:t xml:space="preserve">of </w:t>
      </w:r>
      <w:r w:rsidR="0077330D">
        <w:rPr>
          <w:rFonts w:ascii="Garamond" w:hAnsi="Garamond"/>
        </w:rPr>
        <w:t xml:space="preserve">reconciling different spatial orders operating within the same system – </w:t>
      </w:r>
      <w:r w:rsidR="007472D8">
        <w:rPr>
          <w:rFonts w:ascii="Garamond" w:hAnsi="Garamond"/>
        </w:rPr>
        <w:t>‘national’, ‘local’, ‘neighbourhood’, ‘grassroots’.</w:t>
      </w:r>
      <w:r w:rsidR="00C75865">
        <w:rPr>
          <w:rFonts w:ascii="Garamond" w:hAnsi="Garamond"/>
        </w:rPr>
        <w:t xml:space="preserve">  </w:t>
      </w:r>
      <w:r w:rsidR="00B76144">
        <w:rPr>
          <w:rFonts w:ascii="Garamond" w:hAnsi="Garamond"/>
        </w:rPr>
        <w:t xml:space="preserve">Therefore, the Secretary of State’s </w:t>
      </w:r>
      <w:r w:rsidR="000D393C">
        <w:rPr>
          <w:rFonts w:ascii="Garamond" w:hAnsi="Garamond"/>
        </w:rPr>
        <w:t>rights of call-in and recovery</w:t>
      </w:r>
      <w:r w:rsidR="00290275">
        <w:rPr>
          <w:rFonts w:ascii="Garamond" w:hAnsi="Garamond"/>
        </w:rPr>
        <w:t xml:space="preserve">, when discussed at all, </w:t>
      </w:r>
      <w:r w:rsidR="000D393C">
        <w:rPr>
          <w:rFonts w:ascii="Garamond" w:hAnsi="Garamond"/>
        </w:rPr>
        <w:t>are</w:t>
      </w:r>
      <w:r w:rsidR="00290275">
        <w:rPr>
          <w:rFonts w:ascii="Garamond" w:hAnsi="Garamond"/>
        </w:rPr>
        <w:t xml:space="preserve"> </w:t>
      </w:r>
      <w:r w:rsidR="00162655">
        <w:rPr>
          <w:rFonts w:ascii="Garamond" w:hAnsi="Garamond"/>
        </w:rPr>
        <w:t xml:space="preserve">treated as </w:t>
      </w:r>
      <w:r w:rsidR="00B21495">
        <w:rPr>
          <w:rFonts w:ascii="Garamond" w:hAnsi="Garamond"/>
        </w:rPr>
        <w:t>specific aspects</w:t>
      </w:r>
      <w:r w:rsidR="00162655">
        <w:rPr>
          <w:rFonts w:ascii="Garamond" w:hAnsi="Garamond"/>
        </w:rPr>
        <w:t xml:space="preserve"> of </w:t>
      </w:r>
      <w:r w:rsidR="00193E4E">
        <w:rPr>
          <w:rFonts w:ascii="Garamond" w:hAnsi="Garamond"/>
        </w:rPr>
        <w:t xml:space="preserve">a </w:t>
      </w:r>
      <w:r w:rsidR="00162655">
        <w:rPr>
          <w:rFonts w:ascii="Garamond" w:hAnsi="Garamond"/>
        </w:rPr>
        <w:t xml:space="preserve">broader </w:t>
      </w:r>
      <w:r w:rsidR="00085BE9">
        <w:rPr>
          <w:rFonts w:ascii="Garamond" w:hAnsi="Garamond"/>
        </w:rPr>
        <w:t>debate about</w:t>
      </w:r>
      <w:r w:rsidR="00833557">
        <w:rPr>
          <w:rFonts w:ascii="Garamond" w:hAnsi="Garamond"/>
        </w:rPr>
        <w:t xml:space="preserve"> demarcations of </w:t>
      </w:r>
      <w:r w:rsidR="000600EF">
        <w:rPr>
          <w:rFonts w:ascii="Garamond" w:hAnsi="Garamond"/>
        </w:rPr>
        <w:t>space and scale</w:t>
      </w:r>
      <w:r w:rsidR="001F47B8">
        <w:rPr>
          <w:rFonts w:ascii="Garamond" w:hAnsi="Garamond"/>
        </w:rPr>
        <w:t xml:space="preserve">.  </w:t>
      </w:r>
    </w:p>
    <w:p w14:paraId="3DE184B8" w14:textId="77777777" w:rsidR="001F47B8" w:rsidRDefault="001F47B8" w:rsidP="00E72458">
      <w:pPr>
        <w:spacing w:line="360" w:lineRule="auto"/>
        <w:rPr>
          <w:rFonts w:ascii="Garamond" w:hAnsi="Garamond"/>
        </w:rPr>
      </w:pPr>
    </w:p>
    <w:p w14:paraId="4C865645" w14:textId="4CC01524" w:rsidR="00011FFF" w:rsidRDefault="001C1E00" w:rsidP="00E72458">
      <w:pPr>
        <w:spacing w:line="360" w:lineRule="auto"/>
        <w:rPr>
          <w:rFonts w:ascii="Garamond" w:hAnsi="Garamond"/>
        </w:rPr>
      </w:pPr>
      <w:r>
        <w:rPr>
          <w:rFonts w:ascii="Garamond" w:hAnsi="Garamond"/>
        </w:rPr>
        <w:t xml:space="preserve">Taken in the context of </w:t>
      </w:r>
      <w:r w:rsidR="00B404C2">
        <w:rPr>
          <w:rFonts w:ascii="Garamond" w:hAnsi="Garamond"/>
        </w:rPr>
        <w:t>p</w:t>
      </w:r>
      <w:r w:rsidR="001B03BD">
        <w:rPr>
          <w:rFonts w:ascii="Garamond" w:hAnsi="Garamond"/>
        </w:rPr>
        <w:t xml:space="preserve">athbreaking studies in geography and </w:t>
      </w:r>
      <w:r w:rsidR="001E53BA">
        <w:rPr>
          <w:rFonts w:ascii="Garamond" w:hAnsi="Garamond"/>
        </w:rPr>
        <w:t>allied</w:t>
      </w:r>
      <w:r w:rsidR="001B03BD">
        <w:rPr>
          <w:rFonts w:ascii="Garamond" w:hAnsi="Garamond"/>
        </w:rPr>
        <w:t xml:space="preserve"> </w:t>
      </w:r>
      <w:r w:rsidR="005F1B25">
        <w:rPr>
          <w:rFonts w:ascii="Garamond" w:hAnsi="Garamond"/>
        </w:rPr>
        <w:t>areas</w:t>
      </w:r>
      <w:r w:rsidR="003D4A86">
        <w:rPr>
          <w:rFonts w:ascii="Garamond" w:hAnsi="Garamond"/>
        </w:rPr>
        <w:t xml:space="preserve"> (</w:t>
      </w:r>
      <w:r w:rsidR="001B03BD">
        <w:rPr>
          <w:rFonts w:ascii="Garamond" w:hAnsi="Garamond"/>
        </w:rPr>
        <w:t xml:space="preserve">such as legal geography, </w:t>
      </w:r>
      <w:r w:rsidR="00B85457">
        <w:rPr>
          <w:rFonts w:ascii="Garamond" w:hAnsi="Garamond"/>
        </w:rPr>
        <w:t>anthropology</w:t>
      </w:r>
      <w:r w:rsidR="001B03BD">
        <w:rPr>
          <w:rFonts w:ascii="Garamond" w:hAnsi="Garamond"/>
        </w:rPr>
        <w:t xml:space="preserve"> and political ecology</w:t>
      </w:r>
      <w:r w:rsidR="005F1B25">
        <w:rPr>
          <w:rFonts w:ascii="Garamond" w:hAnsi="Garamond"/>
        </w:rPr>
        <w:t xml:space="preserve">) </w:t>
      </w:r>
      <w:r w:rsidR="001B03BD">
        <w:rPr>
          <w:rFonts w:ascii="Garamond" w:hAnsi="Garamond"/>
        </w:rPr>
        <w:t>on the scalar structuration of the state</w:t>
      </w:r>
      <w:r w:rsidR="00C709F0">
        <w:rPr>
          <w:rFonts w:ascii="Garamond" w:hAnsi="Garamond"/>
        </w:rPr>
        <w:t>,</w:t>
      </w:r>
      <w:r w:rsidR="001B03BD">
        <w:rPr>
          <w:rStyle w:val="EndnoteReference"/>
          <w:rFonts w:ascii="Garamond" w:hAnsi="Garamond"/>
        </w:rPr>
        <w:endnoteReference w:id="96"/>
      </w:r>
      <w:r w:rsidR="00C709F0">
        <w:rPr>
          <w:rFonts w:ascii="Garamond" w:hAnsi="Garamond"/>
        </w:rPr>
        <w:t xml:space="preserve"> the call-in of planning applications and recovery of appeals can be understood </w:t>
      </w:r>
      <w:r w:rsidR="007E24B1">
        <w:rPr>
          <w:rFonts w:ascii="Garamond" w:hAnsi="Garamond"/>
        </w:rPr>
        <w:t xml:space="preserve">as </w:t>
      </w:r>
      <w:r w:rsidR="00793ED6">
        <w:rPr>
          <w:rFonts w:ascii="Garamond" w:hAnsi="Garamond"/>
        </w:rPr>
        <w:t>scalar practices</w:t>
      </w:r>
      <w:r w:rsidR="007973CA">
        <w:rPr>
          <w:rFonts w:ascii="Garamond" w:hAnsi="Garamond"/>
        </w:rPr>
        <w:t xml:space="preserve"> that </w:t>
      </w:r>
      <w:r w:rsidR="00CD6039">
        <w:rPr>
          <w:rFonts w:ascii="Garamond" w:hAnsi="Garamond"/>
        </w:rPr>
        <w:lastRenderedPageBreak/>
        <w:t xml:space="preserve">organise </w:t>
      </w:r>
      <w:r w:rsidR="007973CA">
        <w:rPr>
          <w:rFonts w:ascii="Garamond" w:hAnsi="Garamond"/>
        </w:rPr>
        <w:t>power relations</w:t>
      </w:r>
      <w:r w:rsidR="00757080">
        <w:rPr>
          <w:rFonts w:ascii="Garamond" w:hAnsi="Garamond"/>
        </w:rPr>
        <w:t xml:space="preserve"> between </w:t>
      </w:r>
      <w:r w:rsidR="000F3FB3">
        <w:rPr>
          <w:rFonts w:ascii="Garamond" w:hAnsi="Garamond"/>
        </w:rPr>
        <w:t xml:space="preserve">different </w:t>
      </w:r>
      <w:r w:rsidR="00757080">
        <w:rPr>
          <w:rFonts w:ascii="Garamond" w:hAnsi="Garamond"/>
        </w:rPr>
        <w:t>layers of government</w:t>
      </w:r>
      <w:r w:rsidR="00793ED6">
        <w:rPr>
          <w:rFonts w:ascii="Garamond" w:hAnsi="Garamond"/>
        </w:rPr>
        <w:t xml:space="preserve">.  </w:t>
      </w:r>
      <w:r w:rsidR="00935FE7">
        <w:rPr>
          <w:rFonts w:ascii="Garamond" w:hAnsi="Garamond"/>
        </w:rPr>
        <w:t xml:space="preserve">From that </w:t>
      </w:r>
      <w:r w:rsidR="005C10C0">
        <w:rPr>
          <w:rFonts w:ascii="Garamond" w:hAnsi="Garamond"/>
        </w:rPr>
        <w:t>angle</w:t>
      </w:r>
      <w:r w:rsidR="00793ED6">
        <w:rPr>
          <w:rFonts w:ascii="Garamond" w:hAnsi="Garamond"/>
        </w:rPr>
        <w:t>,</w:t>
      </w:r>
      <w:r w:rsidR="00935FE7">
        <w:rPr>
          <w:rFonts w:ascii="Garamond" w:hAnsi="Garamond"/>
        </w:rPr>
        <w:t xml:space="preserve"> it might be observed that</w:t>
      </w:r>
      <w:r w:rsidR="00793ED6">
        <w:rPr>
          <w:rFonts w:ascii="Garamond" w:hAnsi="Garamond"/>
        </w:rPr>
        <w:t xml:space="preserve"> there </w:t>
      </w:r>
      <w:r w:rsidR="00DB483E">
        <w:rPr>
          <w:rFonts w:ascii="Garamond" w:hAnsi="Garamond"/>
        </w:rPr>
        <w:t xml:space="preserve">is nothing innate about </w:t>
      </w:r>
      <w:r>
        <w:rPr>
          <w:rFonts w:ascii="Garamond" w:hAnsi="Garamond"/>
        </w:rPr>
        <w:t xml:space="preserve">a project’s classification as </w:t>
      </w:r>
      <w:r w:rsidR="00022621">
        <w:rPr>
          <w:rFonts w:ascii="Garamond" w:hAnsi="Garamond"/>
        </w:rPr>
        <w:t>development of</w:t>
      </w:r>
      <w:r w:rsidR="00F27B74">
        <w:rPr>
          <w:rFonts w:ascii="Garamond" w:hAnsi="Garamond"/>
        </w:rPr>
        <w:t xml:space="preserve"> ‘major importance’ and ‘</w:t>
      </w:r>
      <w:r w:rsidR="00DB483E">
        <w:rPr>
          <w:rFonts w:ascii="Garamond" w:hAnsi="Garamond"/>
        </w:rPr>
        <w:t>more than local significance’</w:t>
      </w:r>
      <w:r w:rsidR="00F27B74">
        <w:rPr>
          <w:rFonts w:ascii="Garamond" w:hAnsi="Garamond"/>
        </w:rPr>
        <w:t xml:space="preserve"> – th</w:t>
      </w:r>
      <w:r w:rsidR="00793ED6">
        <w:rPr>
          <w:rFonts w:ascii="Garamond" w:hAnsi="Garamond"/>
        </w:rPr>
        <w:t>o</w:t>
      </w:r>
      <w:r w:rsidR="00B51C95">
        <w:rPr>
          <w:rFonts w:ascii="Garamond" w:hAnsi="Garamond"/>
        </w:rPr>
        <w:t xml:space="preserve">se </w:t>
      </w:r>
      <w:r w:rsidR="00793ED6">
        <w:rPr>
          <w:rFonts w:ascii="Garamond" w:hAnsi="Garamond"/>
        </w:rPr>
        <w:t xml:space="preserve">designations </w:t>
      </w:r>
      <w:r w:rsidR="00F27B74">
        <w:rPr>
          <w:rFonts w:ascii="Garamond" w:hAnsi="Garamond"/>
        </w:rPr>
        <w:t>are</w:t>
      </w:r>
      <w:r w:rsidR="00793ED6">
        <w:rPr>
          <w:rFonts w:ascii="Garamond" w:hAnsi="Garamond"/>
        </w:rPr>
        <w:t xml:space="preserve"> constructed</w:t>
      </w:r>
      <w:r w:rsidR="00D57FDD">
        <w:rPr>
          <w:rFonts w:ascii="Garamond" w:hAnsi="Garamond"/>
        </w:rPr>
        <w:t>;</w:t>
      </w:r>
      <w:r w:rsidR="00793ED6">
        <w:rPr>
          <w:rFonts w:ascii="Garamond" w:hAnsi="Garamond"/>
        </w:rPr>
        <w:t xml:space="preserve"> that is,</w:t>
      </w:r>
      <w:r w:rsidR="001F47B8">
        <w:rPr>
          <w:rFonts w:ascii="Garamond" w:hAnsi="Garamond"/>
        </w:rPr>
        <w:t xml:space="preserve"> </w:t>
      </w:r>
      <w:r w:rsidR="00D57FDD">
        <w:rPr>
          <w:rFonts w:ascii="Garamond" w:hAnsi="Garamond"/>
        </w:rPr>
        <w:t xml:space="preserve">they are </w:t>
      </w:r>
      <w:r w:rsidR="00F27B74">
        <w:rPr>
          <w:rFonts w:ascii="Garamond" w:hAnsi="Garamond"/>
        </w:rPr>
        <w:t xml:space="preserve">conceptualised and made effective through </w:t>
      </w:r>
      <w:r w:rsidR="003125DE">
        <w:rPr>
          <w:rFonts w:ascii="Garamond" w:hAnsi="Garamond"/>
        </w:rPr>
        <w:t>routine bureaucratic practices</w:t>
      </w:r>
      <w:r w:rsidR="00F27B74">
        <w:rPr>
          <w:rFonts w:ascii="Garamond" w:hAnsi="Garamond"/>
        </w:rPr>
        <w:t xml:space="preserve"> </w:t>
      </w:r>
      <w:r w:rsidR="00523526">
        <w:rPr>
          <w:rFonts w:ascii="Garamond" w:hAnsi="Garamond"/>
        </w:rPr>
        <w:t xml:space="preserve">(e.g. Written Ministerial Statements, planning guidance) and </w:t>
      </w:r>
      <w:r w:rsidR="00022621">
        <w:rPr>
          <w:rFonts w:ascii="Garamond" w:hAnsi="Garamond"/>
        </w:rPr>
        <w:t xml:space="preserve">uses of </w:t>
      </w:r>
      <w:r w:rsidR="00523526">
        <w:rPr>
          <w:rFonts w:ascii="Garamond" w:hAnsi="Garamond"/>
        </w:rPr>
        <w:t>discretionary authority</w:t>
      </w:r>
      <w:r w:rsidR="00793ED6">
        <w:rPr>
          <w:rFonts w:ascii="Garamond" w:hAnsi="Garamond"/>
        </w:rPr>
        <w:t xml:space="preserve"> (provided for by statute)</w:t>
      </w:r>
      <w:r w:rsidR="00D278FA">
        <w:rPr>
          <w:rFonts w:ascii="Garamond" w:hAnsi="Garamond"/>
        </w:rPr>
        <w:t xml:space="preserve"> </w:t>
      </w:r>
      <w:r w:rsidR="00B51C95">
        <w:rPr>
          <w:rFonts w:ascii="Garamond" w:hAnsi="Garamond"/>
        </w:rPr>
        <w:t>to secure the legitimacy of ‘top-down’ state actions</w:t>
      </w:r>
      <w:r w:rsidR="001F47B8">
        <w:rPr>
          <w:rFonts w:ascii="Garamond" w:hAnsi="Garamond"/>
        </w:rPr>
        <w:t>.</w:t>
      </w:r>
      <w:r w:rsidR="00BA2841">
        <w:rPr>
          <w:rFonts w:ascii="Garamond" w:hAnsi="Garamond"/>
        </w:rPr>
        <w:t xml:space="preserve">  Focusing</w:t>
      </w:r>
      <w:r w:rsidR="006E0EF3">
        <w:rPr>
          <w:rFonts w:ascii="Garamond" w:hAnsi="Garamond"/>
        </w:rPr>
        <w:t xml:space="preserve"> on </w:t>
      </w:r>
      <w:r w:rsidR="00593E7F">
        <w:rPr>
          <w:rFonts w:ascii="Garamond" w:hAnsi="Garamond"/>
        </w:rPr>
        <w:t xml:space="preserve">the separation and hierarchy between ‘higher’ and ‘local’ scales of </w:t>
      </w:r>
      <w:r w:rsidR="00A5034D">
        <w:rPr>
          <w:rFonts w:ascii="Garamond" w:hAnsi="Garamond"/>
        </w:rPr>
        <w:t>practice</w:t>
      </w:r>
      <w:r w:rsidR="00593E7F">
        <w:rPr>
          <w:rFonts w:ascii="Garamond" w:hAnsi="Garamond"/>
        </w:rPr>
        <w:t xml:space="preserve">, and more precisely on the work that </w:t>
      </w:r>
      <w:r w:rsidR="003B26D5">
        <w:rPr>
          <w:rFonts w:ascii="Garamond" w:hAnsi="Garamond"/>
        </w:rPr>
        <w:t xml:space="preserve">scale does </w:t>
      </w:r>
      <w:r w:rsidR="00E72458">
        <w:rPr>
          <w:rFonts w:ascii="Garamond" w:hAnsi="Garamond"/>
        </w:rPr>
        <w:t>as a politico-legal device</w:t>
      </w:r>
      <w:r w:rsidR="005D30A0">
        <w:rPr>
          <w:rFonts w:ascii="Garamond" w:hAnsi="Garamond"/>
        </w:rPr>
        <w:t>,</w:t>
      </w:r>
      <w:r w:rsidR="00B85457">
        <w:rPr>
          <w:rFonts w:ascii="Garamond" w:hAnsi="Garamond"/>
        </w:rPr>
        <w:t xml:space="preserve"> considerably enriches</w:t>
      </w:r>
      <w:r w:rsidR="005D30A0">
        <w:rPr>
          <w:rFonts w:ascii="Garamond" w:hAnsi="Garamond"/>
        </w:rPr>
        <w:t xml:space="preserve"> </w:t>
      </w:r>
      <w:r w:rsidR="00B85457">
        <w:rPr>
          <w:rFonts w:ascii="Garamond" w:hAnsi="Garamond"/>
        </w:rPr>
        <w:t>the analysis of contemporary practices of government.</w:t>
      </w:r>
      <w:r w:rsidR="00A5034D">
        <w:rPr>
          <w:rFonts w:ascii="Garamond" w:hAnsi="Garamond"/>
        </w:rPr>
        <w:t xml:space="preserve">  </w:t>
      </w:r>
      <w:r w:rsidR="00BA2841">
        <w:rPr>
          <w:rFonts w:ascii="Garamond" w:hAnsi="Garamond"/>
        </w:rPr>
        <w:t xml:space="preserve">But </w:t>
      </w:r>
      <w:r w:rsidR="00A5034D">
        <w:rPr>
          <w:rFonts w:ascii="Garamond" w:hAnsi="Garamond"/>
        </w:rPr>
        <w:t>there are other ways of approaching the matter</w:t>
      </w:r>
      <w:r w:rsidR="00B8486A">
        <w:rPr>
          <w:rFonts w:ascii="Garamond" w:hAnsi="Garamond"/>
        </w:rPr>
        <w:t xml:space="preserve">, which </w:t>
      </w:r>
      <w:r w:rsidR="005C10C0">
        <w:rPr>
          <w:rFonts w:ascii="Garamond" w:hAnsi="Garamond"/>
        </w:rPr>
        <w:t xml:space="preserve">can </w:t>
      </w:r>
      <w:r w:rsidR="00B8486A">
        <w:rPr>
          <w:rFonts w:ascii="Garamond" w:hAnsi="Garamond"/>
        </w:rPr>
        <w:t xml:space="preserve">supplement </w:t>
      </w:r>
      <w:r w:rsidR="005C10C0" w:rsidRPr="00120A9E">
        <w:rPr>
          <w:rFonts w:ascii="Garamond" w:hAnsi="Garamond"/>
        </w:rPr>
        <w:t>spatial and scalar</w:t>
      </w:r>
      <w:r w:rsidR="005C10C0">
        <w:rPr>
          <w:rFonts w:ascii="Garamond" w:hAnsi="Garamond"/>
        </w:rPr>
        <w:t xml:space="preserve"> perspectives.</w:t>
      </w:r>
      <w:r w:rsidR="00011FFF">
        <w:rPr>
          <w:rFonts w:ascii="Garamond" w:hAnsi="Garamond"/>
        </w:rPr>
        <w:t xml:space="preserve">  </w:t>
      </w:r>
    </w:p>
    <w:p w14:paraId="501852F0" w14:textId="77777777" w:rsidR="00011FFF" w:rsidRDefault="00011FFF" w:rsidP="00E72458">
      <w:pPr>
        <w:spacing w:line="360" w:lineRule="auto"/>
        <w:rPr>
          <w:rFonts w:ascii="Garamond" w:hAnsi="Garamond"/>
        </w:rPr>
      </w:pPr>
    </w:p>
    <w:p w14:paraId="09F4711B" w14:textId="2D04BA12" w:rsidR="00120A9E" w:rsidRDefault="005C10C0" w:rsidP="00E72458">
      <w:pPr>
        <w:spacing w:line="360" w:lineRule="auto"/>
        <w:rPr>
          <w:rFonts w:ascii="Garamond" w:hAnsi="Garamond"/>
        </w:rPr>
      </w:pPr>
      <w:r>
        <w:rPr>
          <w:rFonts w:ascii="Garamond" w:hAnsi="Garamond"/>
        </w:rPr>
        <w:t xml:space="preserve">In particular, the powers of call-in and recovery </w:t>
      </w:r>
      <w:r w:rsidR="00B1485F">
        <w:rPr>
          <w:rFonts w:ascii="Garamond" w:hAnsi="Garamond"/>
        </w:rPr>
        <w:t>may</w:t>
      </w:r>
      <w:r w:rsidR="00120A9E">
        <w:rPr>
          <w:rFonts w:ascii="Garamond" w:hAnsi="Garamond"/>
        </w:rPr>
        <w:t xml:space="preserve"> lend themselves, in as yet untested ways,</w:t>
      </w:r>
      <w:r w:rsidR="00E87FC1">
        <w:rPr>
          <w:rFonts w:ascii="Garamond" w:hAnsi="Garamond"/>
        </w:rPr>
        <w:t xml:space="preserve"> to an analysis of the </w:t>
      </w:r>
      <w:r w:rsidR="00E87FC1" w:rsidRPr="00AA0B2D">
        <w:rPr>
          <w:rFonts w:ascii="Garamond" w:hAnsi="Garamond"/>
          <w:i/>
          <w:iCs/>
        </w:rPr>
        <w:t>futures</w:t>
      </w:r>
      <w:r w:rsidR="00E87FC1">
        <w:rPr>
          <w:rFonts w:ascii="Garamond" w:hAnsi="Garamond"/>
        </w:rPr>
        <w:t xml:space="preserve"> they </w:t>
      </w:r>
      <w:r w:rsidR="000706EA">
        <w:rPr>
          <w:rFonts w:ascii="Garamond" w:hAnsi="Garamond"/>
        </w:rPr>
        <w:t>envision</w:t>
      </w:r>
      <w:r w:rsidR="00342BCE">
        <w:rPr>
          <w:rFonts w:ascii="Garamond" w:hAnsi="Garamond"/>
        </w:rPr>
        <w:t xml:space="preserve"> and act upon.</w:t>
      </w:r>
      <w:r w:rsidR="00AA0B2D">
        <w:rPr>
          <w:rFonts w:ascii="Garamond" w:hAnsi="Garamond"/>
        </w:rPr>
        <w:t xml:space="preserve">  </w:t>
      </w:r>
      <w:r w:rsidR="00226B19">
        <w:rPr>
          <w:rFonts w:ascii="Garamond" w:hAnsi="Garamond"/>
        </w:rPr>
        <w:t>Admittedly, c</w:t>
      </w:r>
      <w:r w:rsidR="00AA0B2D">
        <w:rPr>
          <w:rFonts w:ascii="Garamond" w:hAnsi="Garamond"/>
        </w:rPr>
        <w:t>all-in and recovery are not intuitively the most obvious example for thinking about how planning law</w:t>
      </w:r>
      <w:r w:rsidR="00BC147B">
        <w:rPr>
          <w:rFonts w:ascii="Garamond" w:hAnsi="Garamond"/>
        </w:rPr>
        <w:t xml:space="preserve"> </w:t>
      </w:r>
      <w:r w:rsidR="002231B8">
        <w:rPr>
          <w:rFonts w:ascii="Garamond" w:hAnsi="Garamond"/>
        </w:rPr>
        <w:t xml:space="preserve">operates through </w:t>
      </w:r>
      <w:r w:rsidR="00ED3535">
        <w:rPr>
          <w:rFonts w:ascii="Garamond" w:hAnsi="Garamond"/>
        </w:rPr>
        <w:t>different</w:t>
      </w:r>
      <w:r w:rsidR="002231B8">
        <w:rPr>
          <w:rFonts w:ascii="Garamond" w:hAnsi="Garamond"/>
        </w:rPr>
        <w:t xml:space="preserve"> </w:t>
      </w:r>
      <w:r w:rsidR="002376EA">
        <w:rPr>
          <w:rFonts w:ascii="Garamond" w:hAnsi="Garamond"/>
        </w:rPr>
        <w:t xml:space="preserve">future-orientations </w:t>
      </w:r>
      <w:r w:rsidR="00226B19">
        <w:rPr>
          <w:rFonts w:ascii="Garamond" w:hAnsi="Garamond"/>
        </w:rPr>
        <w:t xml:space="preserve">– but that is a deliberate </w:t>
      </w:r>
      <w:r w:rsidR="00A34363">
        <w:rPr>
          <w:rFonts w:ascii="Garamond" w:hAnsi="Garamond"/>
        </w:rPr>
        <w:t>move</w:t>
      </w:r>
      <w:r w:rsidR="00602C9E">
        <w:rPr>
          <w:rFonts w:ascii="Garamond" w:hAnsi="Garamond"/>
        </w:rPr>
        <w:t xml:space="preserve"> on my part</w:t>
      </w:r>
      <w:r w:rsidR="00A34363">
        <w:rPr>
          <w:rFonts w:ascii="Garamond" w:hAnsi="Garamond"/>
        </w:rPr>
        <w:t xml:space="preserve"> to show that</w:t>
      </w:r>
      <w:r w:rsidR="00C1289E">
        <w:rPr>
          <w:rFonts w:ascii="Garamond" w:hAnsi="Garamond"/>
        </w:rPr>
        <w:t xml:space="preserve"> non-obvious </w:t>
      </w:r>
      <w:r w:rsidR="008563A1">
        <w:rPr>
          <w:rFonts w:ascii="Garamond" w:hAnsi="Garamond"/>
        </w:rPr>
        <w:t>sites</w:t>
      </w:r>
      <w:r w:rsidR="00C1289E">
        <w:rPr>
          <w:rFonts w:ascii="Garamond" w:hAnsi="Garamond"/>
        </w:rPr>
        <w:t xml:space="preserve"> </w:t>
      </w:r>
      <w:r w:rsidR="008563A1">
        <w:rPr>
          <w:rFonts w:ascii="Garamond" w:hAnsi="Garamond"/>
        </w:rPr>
        <w:t>are also</w:t>
      </w:r>
      <w:r w:rsidR="00BB0C01">
        <w:rPr>
          <w:rFonts w:ascii="Garamond" w:hAnsi="Garamond"/>
        </w:rPr>
        <w:t xml:space="preserve"> </w:t>
      </w:r>
      <w:r w:rsidR="006B28EE">
        <w:rPr>
          <w:rFonts w:ascii="Garamond" w:hAnsi="Garamond"/>
        </w:rPr>
        <w:t xml:space="preserve">where futures take shape, in ways that </w:t>
      </w:r>
      <w:r w:rsidR="0079049E">
        <w:rPr>
          <w:rFonts w:ascii="Garamond" w:hAnsi="Garamond"/>
        </w:rPr>
        <w:t xml:space="preserve">may otherwise </w:t>
      </w:r>
      <w:r w:rsidR="00876DF5">
        <w:rPr>
          <w:rFonts w:ascii="Garamond" w:hAnsi="Garamond"/>
        </w:rPr>
        <w:t>escape scrutiny</w:t>
      </w:r>
      <w:r w:rsidR="0079049E">
        <w:rPr>
          <w:rFonts w:ascii="Garamond" w:hAnsi="Garamond"/>
        </w:rPr>
        <w:t>.</w:t>
      </w:r>
    </w:p>
    <w:p w14:paraId="5C1AE79C" w14:textId="77777777" w:rsidR="00B404C2" w:rsidRDefault="00B404C2" w:rsidP="00E72458">
      <w:pPr>
        <w:spacing w:line="360" w:lineRule="auto"/>
        <w:rPr>
          <w:rFonts w:ascii="Garamond" w:hAnsi="Garamond"/>
        </w:rPr>
      </w:pPr>
    </w:p>
    <w:p w14:paraId="301CF333" w14:textId="24A7309F" w:rsidR="006974F4" w:rsidRPr="00E74EF8" w:rsidRDefault="00845FA7" w:rsidP="00E72458">
      <w:pPr>
        <w:spacing w:line="360" w:lineRule="auto"/>
        <w:rPr>
          <w:rFonts w:ascii="Garamond" w:hAnsi="Garamond"/>
          <w:b/>
          <w:bCs/>
        </w:rPr>
      </w:pPr>
      <w:r w:rsidRPr="00E74EF8">
        <w:rPr>
          <w:rFonts w:ascii="Garamond" w:hAnsi="Garamond"/>
          <w:b/>
          <w:bCs/>
        </w:rPr>
        <w:t>Future-Orientations</w:t>
      </w:r>
      <w:r w:rsidR="000D04D2" w:rsidRPr="00E74EF8">
        <w:rPr>
          <w:rFonts w:ascii="Garamond" w:hAnsi="Garamond"/>
          <w:b/>
          <w:bCs/>
        </w:rPr>
        <w:t xml:space="preserve"> </w:t>
      </w:r>
      <w:r w:rsidR="00570259" w:rsidRPr="00E74EF8">
        <w:rPr>
          <w:rFonts w:ascii="Garamond" w:hAnsi="Garamond"/>
          <w:b/>
          <w:bCs/>
        </w:rPr>
        <w:t>of Jurisdiction</w:t>
      </w:r>
    </w:p>
    <w:p w14:paraId="7903B391" w14:textId="11186604" w:rsidR="00C44420" w:rsidRDefault="002F154D" w:rsidP="00E72458">
      <w:pPr>
        <w:spacing w:line="360" w:lineRule="auto"/>
        <w:rPr>
          <w:rFonts w:ascii="Garamond" w:hAnsi="Garamond"/>
        </w:rPr>
      </w:pPr>
      <w:r>
        <w:rPr>
          <w:rFonts w:ascii="Garamond" w:hAnsi="Garamond"/>
        </w:rPr>
        <w:t>To begin with</w:t>
      </w:r>
      <w:r w:rsidR="00102F3E">
        <w:rPr>
          <w:rFonts w:ascii="Garamond" w:hAnsi="Garamond"/>
        </w:rPr>
        <w:t xml:space="preserve">, </w:t>
      </w:r>
      <w:r>
        <w:rPr>
          <w:rFonts w:ascii="Garamond" w:hAnsi="Garamond"/>
        </w:rPr>
        <w:t xml:space="preserve">a futures-perspective may help to bring clarity to the ways in which </w:t>
      </w:r>
      <w:r w:rsidR="00515898">
        <w:rPr>
          <w:rFonts w:ascii="Garamond" w:hAnsi="Garamond"/>
        </w:rPr>
        <w:t xml:space="preserve">the Secretary of State’s </w:t>
      </w:r>
      <w:r w:rsidR="000E0224">
        <w:rPr>
          <w:rFonts w:ascii="Garamond" w:hAnsi="Garamond"/>
        </w:rPr>
        <w:t>statutory powers</w:t>
      </w:r>
      <w:r w:rsidR="00515898">
        <w:rPr>
          <w:rFonts w:ascii="Garamond" w:hAnsi="Garamond"/>
        </w:rPr>
        <w:t xml:space="preserve"> to </w:t>
      </w:r>
      <w:r w:rsidR="000D35E2">
        <w:rPr>
          <w:rFonts w:ascii="Garamond" w:hAnsi="Garamond"/>
        </w:rPr>
        <w:t xml:space="preserve">determine planning applications and appeals can induce </w:t>
      </w:r>
      <w:r>
        <w:rPr>
          <w:rFonts w:ascii="Garamond" w:hAnsi="Garamond"/>
        </w:rPr>
        <w:t>or amplify particular orientations towards the future</w:t>
      </w:r>
      <w:r w:rsidR="00391F80">
        <w:rPr>
          <w:rFonts w:ascii="Garamond" w:hAnsi="Garamond"/>
        </w:rPr>
        <w:t>.</w:t>
      </w:r>
      <w:r w:rsidR="00DB76EE">
        <w:rPr>
          <w:rFonts w:ascii="Garamond" w:hAnsi="Garamond"/>
        </w:rPr>
        <w:t xml:space="preserve">  The focus here is on the future-orientations that give the jurisdiction its form</w:t>
      </w:r>
      <w:r w:rsidR="008443D7">
        <w:rPr>
          <w:rFonts w:ascii="Garamond" w:hAnsi="Garamond"/>
        </w:rPr>
        <w:t xml:space="preserve">, setting the conditions of possibility for </w:t>
      </w:r>
      <w:r w:rsidR="00322B49">
        <w:rPr>
          <w:rFonts w:ascii="Garamond" w:hAnsi="Garamond"/>
        </w:rPr>
        <w:t xml:space="preserve">the distribution of </w:t>
      </w:r>
      <w:r w:rsidR="00054ADB">
        <w:rPr>
          <w:rFonts w:ascii="Garamond" w:hAnsi="Garamond"/>
        </w:rPr>
        <w:t xml:space="preserve">governing </w:t>
      </w:r>
      <w:r w:rsidR="00972CB3">
        <w:rPr>
          <w:rFonts w:ascii="Garamond" w:hAnsi="Garamond"/>
        </w:rPr>
        <w:t>authority</w:t>
      </w:r>
      <w:r w:rsidR="00054ADB">
        <w:rPr>
          <w:rFonts w:ascii="Garamond" w:hAnsi="Garamond"/>
        </w:rPr>
        <w:t xml:space="preserve"> and the manner of its use</w:t>
      </w:r>
      <w:r w:rsidR="00880D2E">
        <w:rPr>
          <w:rFonts w:ascii="Garamond" w:hAnsi="Garamond"/>
        </w:rPr>
        <w:t xml:space="preserve">.  </w:t>
      </w:r>
      <w:r w:rsidR="00F12D79">
        <w:rPr>
          <w:rFonts w:ascii="Garamond" w:hAnsi="Garamond"/>
        </w:rPr>
        <w:t xml:space="preserve">These future-orientations are </w:t>
      </w:r>
      <w:r w:rsidR="00EB2612">
        <w:rPr>
          <w:rFonts w:ascii="Garamond" w:hAnsi="Garamond"/>
        </w:rPr>
        <w:t xml:space="preserve">an </w:t>
      </w:r>
      <w:r w:rsidR="00002743">
        <w:rPr>
          <w:rFonts w:ascii="Garamond" w:hAnsi="Garamond"/>
        </w:rPr>
        <w:t>additional</w:t>
      </w:r>
      <w:r w:rsidR="007B5721">
        <w:rPr>
          <w:rFonts w:ascii="Garamond" w:hAnsi="Garamond"/>
        </w:rPr>
        <w:t xml:space="preserve"> dimension </w:t>
      </w:r>
      <w:r w:rsidR="00F12D79">
        <w:rPr>
          <w:rFonts w:ascii="Garamond" w:hAnsi="Garamond"/>
        </w:rPr>
        <w:t xml:space="preserve">of what might be described </w:t>
      </w:r>
      <w:r w:rsidR="00AB5AEC">
        <w:rPr>
          <w:rFonts w:ascii="Garamond" w:hAnsi="Garamond"/>
        </w:rPr>
        <w:t xml:space="preserve">as </w:t>
      </w:r>
      <w:r w:rsidR="00F12D79">
        <w:rPr>
          <w:rFonts w:ascii="Garamond" w:hAnsi="Garamond"/>
        </w:rPr>
        <w:t>the</w:t>
      </w:r>
      <w:r w:rsidR="00BF6060">
        <w:rPr>
          <w:rFonts w:ascii="Garamond" w:hAnsi="Garamond"/>
        </w:rPr>
        <w:t xml:space="preserve"> ‘often hidden architectures</w:t>
      </w:r>
      <w:r w:rsidR="007B5721">
        <w:rPr>
          <w:rFonts w:ascii="Garamond" w:hAnsi="Garamond"/>
        </w:rPr>
        <w:t xml:space="preserve"> … of </w:t>
      </w:r>
      <w:r w:rsidR="00BF6060">
        <w:rPr>
          <w:rFonts w:ascii="Garamond" w:hAnsi="Garamond"/>
        </w:rPr>
        <w:t>discretion’</w:t>
      </w:r>
      <w:r w:rsidR="00AB5AEC">
        <w:rPr>
          <w:rFonts w:ascii="Garamond" w:hAnsi="Garamond"/>
        </w:rPr>
        <w:t>,</w:t>
      </w:r>
      <w:r w:rsidR="00F12D79">
        <w:rPr>
          <w:rStyle w:val="EndnoteReference"/>
          <w:rFonts w:ascii="Garamond" w:hAnsi="Garamond"/>
        </w:rPr>
        <w:endnoteReference w:id="97"/>
      </w:r>
      <w:r w:rsidR="00880D2E">
        <w:rPr>
          <w:rFonts w:ascii="Garamond" w:hAnsi="Garamond"/>
        </w:rPr>
        <w:t xml:space="preserve"> </w:t>
      </w:r>
      <w:r w:rsidR="00972CB3">
        <w:rPr>
          <w:rFonts w:ascii="Garamond" w:hAnsi="Garamond"/>
        </w:rPr>
        <w:t>structuring</w:t>
      </w:r>
      <w:r w:rsidR="00880D2E">
        <w:rPr>
          <w:rFonts w:ascii="Garamond" w:hAnsi="Garamond"/>
        </w:rPr>
        <w:t xml:space="preserve"> </w:t>
      </w:r>
      <w:r w:rsidR="002E4743">
        <w:rPr>
          <w:rFonts w:ascii="Garamond" w:hAnsi="Garamond"/>
        </w:rPr>
        <w:t>the operations of law and imposing limits to legal order</w:t>
      </w:r>
      <w:r w:rsidR="00335023">
        <w:rPr>
          <w:rFonts w:ascii="Garamond" w:hAnsi="Garamond"/>
        </w:rPr>
        <w:t xml:space="preserve">, yet </w:t>
      </w:r>
      <w:r w:rsidR="009B6BE8">
        <w:rPr>
          <w:rFonts w:ascii="Garamond" w:hAnsi="Garamond"/>
        </w:rPr>
        <w:t xml:space="preserve">kept out of the </w:t>
      </w:r>
      <w:r w:rsidR="00002743">
        <w:rPr>
          <w:rFonts w:ascii="Garamond" w:hAnsi="Garamond"/>
        </w:rPr>
        <w:t xml:space="preserve">analytical </w:t>
      </w:r>
      <w:r w:rsidR="00A56544">
        <w:rPr>
          <w:rFonts w:ascii="Garamond" w:hAnsi="Garamond"/>
        </w:rPr>
        <w:t>frame</w:t>
      </w:r>
      <w:r w:rsidR="00002743">
        <w:rPr>
          <w:rFonts w:ascii="Garamond" w:hAnsi="Garamond"/>
        </w:rPr>
        <w:t xml:space="preserve"> because of the </w:t>
      </w:r>
      <w:r w:rsidR="004F7880">
        <w:rPr>
          <w:rFonts w:ascii="Garamond" w:hAnsi="Garamond"/>
        </w:rPr>
        <w:t>tendency in this context</w:t>
      </w:r>
      <w:r w:rsidR="001E0674">
        <w:rPr>
          <w:rFonts w:ascii="Garamond" w:hAnsi="Garamond"/>
        </w:rPr>
        <w:t>,</w:t>
      </w:r>
      <w:r w:rsidR="004F7880">
        <w:rPr>
          <w:rFonts w:ascii="Garamond" w:hAnsi="Garamond"/>
        </w:rPr>
        <w:t xml:space="preserve"> and more generally, to conceptualise jurisdiction in terms of administrative boundaries and the territorial allocation of authority between different levels of government.</w:t>
      </w:r>
      <w:r w:rsidR="004F7880">
        <w:rPr>
          <w:rStyle w:val="EndnoteReference"/>
          <w:rFonts w:ascii="Garamond" w:hAnsi="Garamond"/>
        </w:rPr>
        <w:endnoteReference w:id="98"/>
      </w:r>
      <w:r w:rsidR="00054ADB">
        <w:rPr>
          <w:rFonts w:ascii="Garamond" w:hAnsi="Garamond"/>
        </w:rPr>
        <w:t xml:space="preserve">  The point is that the </w:t>
      </w:r>
      <w:r w:rsidR="00C44420">
        <w:rPr>
          <w:rFonts w:ascii="Garamond" w:hAnsi="Garamond"/>
        </w:rPr>
        <w:t>assertion</w:t>
      </w:r>
      <w:r w:rsidR="00054ADB">
        <w:rPr>
          <w:rFonts w:ascii="Garamond" w:hAnsi="Garamond"/>
        </w:rPr>
        <w:t xml:space="preserve"> of jurisdiction</w:t>
      </w:r>
      <w:r w:rsidR="00C44420">
        <w:rPr>
          <w:rFonts w:ascii="Garamond" w:hAnsi="Garamond"/>
        </w:rPr>
        <w:t xml:space="preserve"> </w:t>
      </w:r>
      <w:r w:rsidR="00054ADB">
        <w:rPr>
          <w:rFonts w:ascii="Garamond" w:hAnsi="Garamond"/>
        </w:rPr>
        <w:t xml:space="preserve">can also be viewed </w:t>
      </w:r>
      <w:r w:rsidR="008A1F7D">
        <w:rPr>
          <w:rFonts w:ascii="Garamond" w:hAnsi="Garamond"/>
        </w:rPr>
        <w:t>as</w:t>
      </w:r>
      <w:r w:rsidR="0042228A">
        <w:rPr>
          <w:rFonts w:ascii="Garamond" w:hAnsi="Garamond"/>
        </w:rPr>
        <w:t xml:space="preserve"> </w:t>
      </w:r>
      <w:r w:rsidR="00C44420">
        <w:rPr>
          <w:rFonts w:ascii="Garamond" w:hAnsi="Garamond"/>
        </w:rPr>
        <w:t>an act of constructing</w:t>
      </w:r>
      <w:r w:rsidR="00D94C6E">
        <w:rPr>
          <w:rFonts w:ascii="Garamond" w:hAnsi="Garamond"/>
        </w:rPr>
        <w:t xml:space="preserve">, giving meaning to, and orienting towards </w:t>
      </w:r>
      <w:r w:rsidR="00293CC9">
        <w:rPr>
          <w:rFonts w:ascii="Garamond" w:hAnsi="Garamond"/>
        </w:rPr>
        <w:t>futures that are experienced as ‘real’ (</w:t>
      </w:r>
      <w:r w:rsidR="00660F1E">
        <w:rPr>
          <w:rFonts w:ascii="Garamond" w:hAnsi="Garamond"/>
        </w:rPr>
        <w:t xml:space="preserve">perceived as </w:t>
      </w:r>
      <w:r w:rsidR="00293CC9">
        <w:rPr>
          <w:rFonts w:ascii="Garamond" w:hAnsi="Garamond"/>
        </w:rPr>
        <w:t>inevitable),</w:t>
      </w:r>
      <w:r w:rsidR="00A7510E">
        <w:rPr>
          <w:rFonts w:ascii="Garamond" w:hAnsi="Garamond"/>
        </w:rPr>
        <w:t xml:space="preserve"> </w:t>
      </w:r>
      <w:r w:rsidR="006F1275">
        <w:rPr>
          <w:rFonts w:ascii="Garamond" w:hAnsi="Garamond"/>
        </w:rPr>
        <w:t>regardless of whether those futures actually come to pass.</w:t>
      </w:r>
    </w:p>
    <w:p w14:paraId="7EDD57B9" w14:textId="77777777" w:rsidR="00783E90" w:rsidRDefault="00783E90" w:rsidP="00E72458">
      <w:pPr>
        <w:spacing w:line="360" w:lineRule="auto"/>
        <w:rPr>
          <w:rFonts w:ascii="Garamond" w:hAnsi="Garamond"/>
        </w:rPr>
      </w:pPr>
    </w:p>
    <w:p w14:paraId="158BAE30" w14:textId="2B4AD766" w:rsidR="00F834B1" w:rsidRDefault="00E74EF8" w:rsidP="00E72458">
      <w:pPr>
        <w:spacing w:line="360" w:lineRule="auto"/>
        <w:rPr>
          <w:rFonts w:ascii="Garamond" w:hAnsi="Garamond"/>
        </w:rPr>
      </w:pPr>
      <w:r>
        <w:rPr>
          <w:rFonts w:ascii="Garamond" w:hAnsi="Garamond"/>
        </w:rPr>
        <w:t xml:space="preserve">Continuing with the example of </w:t>
      </w:r>
      <w:r w:rsidR="007C2563">
        <w:rPr>
          <w:rFonts w:ascii="Garamond" w:hAnsi="Garamond"/>
        </w:rPr>
        <w:t>shale gas operations involving fracking, a futurescapes perspective</w:t>
      </w:r>
      <w:r w:rsidR="00D86718">
        <w:rPr>
          <w:rFonts w:ascii="Garamond" w:hAnsi="Garamond"/>
        </w:rPr>
        <w:t xml:space="preserve"> – one that </w:t>
      </w:r>
      <w:r w:rsidR="00772343">
        <w:rPr>
          <w:rFonts w:ascii="Garamond" w:hAnsi="Garamond"/>
        </w:rPr>
        <w:t xml:space="preserve">involves seeing the future not just as an outcome but also a process and an affective state – </w:t>
      </w:r>
      <w:r w:rsidR="004E75AC">
        <w:rPr>
          <w:rFonts w:ascii="Garamond" w:hAnsi="Garamond"/>
        </w:rPr>
        <w:t>provides a useful addition to</w:t>
      </w:r>
      <w:r w:rsidR="007C2563">
        <w:rPr>
          <w:rFonts w:ascii="Garamond" w:hAnsi="Garamond"/>
        </w:rPr>
        <w:t xml:space="preserve"> </w:t>
      </w:r>
      <w:r w:rsidR="004E75AC">
        <w:rPr>
          <w:rFonts w:ascii="Garamond" w:hAnsi="Garamond"/>
        </w:rPr>
        <w:t xml:space="preserve">analyses of jurisdiction and power that are </w:t>
      </w:r>
      <w:r w:rsidR="00772343">
        <w:rPr>
          <w:rFonts w:ascii="Garamond" w:hAnsi="Garamond"/>
        </w:rPr>
        <w:lastRenderedPageBreak/>
        <w:t>shaped onto</w:t>
      </w:r>
      <w:r w:rsidR="007C2563">
        <w:rPr>
          <w:rFonts w:ascii="Garamond" w:hAnsi="Garamond"/>
        </w:rPr>
        <w:t xml:space="preserve"> </w:t>
      </w:r>
      <w:r w:rsidR="004E75AC">
        <w:rPr>
          <w:rFonts w:ascii="Garamond" w:hAnsi="Garamond"/>
        </w:rPr>
        <w:t>the</w:t>
      </w:r>
      <w:r w:rsidR="007C2563">
        <w:rPr>
          <w:rFonts w:ascii="Garamond" w:hAnsi="Garamond"/>
        </w:rPr>
        <w:t xml:space="preserve"> </w:t>
      </w:r>
      <w:r w:rsidR="00772343">
        <w:rPr>
          <w:rFonts w:ascii="Garamond" w:hAnsi="Garamond"/>
        </w:rPr>
        <w:t xml:space="preserve">more conventional </w:t>
      </w:r>
      <w:r w:rsidR="007C2563">
        <w:rPr>
          <w:rFonts w:ascii="Garamond" w:hAnsi="Garamond"/>
        </w:rPr>
        <w:t>axis of scale.</w:t>
      </w:r>
      <w:r w:rsidR="004E75AC">
        <w:rPr>
          <w:rFonts w:ascii="Garamond" w:hAnsi="Garamond"/>
        </w:rPr>
        <w:t xml:space="preserve">  </w:t>
      </w:r>
      <w:r w:rsidR="00B956E0">
        <w:rPr>
          <w:rFonts w:ascii="Garamond" w:hAnsi="Garamond"/>
        </w:rPr>
        <w:t xml:space="preserve">In </w:t>
      </w:r>
      <w:r w:rsidR="002E21E8">
        <w:rPr>
          <w:rFonts w:ascii="Garamond" w:hAnsi="Garamond"/>
        </w:rPr>
        <w:t xml:space="preserve">September 2015, in </w:t>
      </w:r>
      <w:r w:rsidR="00B956E0">
        <w:rPr>
          <w:rFonts w:ascii="Garamond" w:hAnsi="Garamond"/>
        </w:rPr>
        <w:t>a Written Ministerial Statement</w:t>
      </w:r>
      <w:r w:rsidR="00E350E3">
        <w:rPr>
          <w:rFonts w:ascii="Garamond" w:hAnsi="Garamond"/>
        </w:rPr>
        <w:t xml:space="preserve"> to Parliament</w:t>
      </w:r>
      <w:r w:rsidR="00B956E0">
        <w:rPr>
          <w:rFonts w:ascii="Garamond" w:hAnsi="Garamond"/>
        </w:rPr>
        <w:t xml:space="preserve">, the Secretary of State for Communities and Local Government announced </w:t>
      </w:r>
      <w:r w:rsidR="003D0908">
        <w:rPr>
          <w:rFonts w:ascii="Garamond" w:hAnsi="Garamond"/>
        </w:rPr>
        <w:t xml:space="preserve">two </w:t>
      </w:r>
      <w:r w:rsidR="00B31298">
        <w:rPr>
          <w:rFonts w:ascii="Garamond" w:hAnsi="Garamond"/>
        </w:rPr>
        <w:t xml:space="preserve">temporary </w:t>
      </w:r>
      <w:r w:rsidR="001E19FA">
        <w:rPr>
          <w:rFonts w:ascii="Garamond" w:hAnsi="Garamond"/>
        </w:rPr>
        <w:t xml:space="preserve">changes </w:t>
      </w:r>
      <w:r w:rsidR="001E19FA" w:rsidRPr="00E350E3">
        <w:rPr>
          <w:rFonts w:ascii="Garamond" w:hAnsi="Garamond"/>
        </w:rPr>
        <w:t xml:space="preserve">to </w:t>
      </w:r>
      <w:r w:rsidR="00E350E3" w:rsidRPr="00E350E3">
        <w:rPr>
          <w:rFonts w:ascii="Garamond" w:hAnsi="Garamond"/>
        </w:rPr>
        <w:t xml:space="preserve">the criteria </w:t>
      </w:r>
      <w:r w:rsidR="00E350E3">
        <w:rPr>
          <w:rFonts w:ascii="Garamond" w:hAnsi="Garamond"/>
        </w:rPr>
        <w:t xml:space="preserve">for </w:t>
      </w:r>
      <w:r w:rsidR="00D97BA1">
        <w:rPr>
          <w:rFonts w:ascii="Garamond" w:hAnsi="Garamond"/>
        </w:rPr>
        <w:t>call-in and recovery</w:t>
      </w:r>
      <w:r w:rsidR="001E19FA" w:rsidRPr="00E350E3">
        <w:rPr>
          <w:rFonts w:ascii="Garamond" w:hAnsi="Garamond"/>
        </w:rPr>
        <w:t>.</w:t>
      </w:r>
      <w:r w:rsidR="001E19FA">
        <w:rPr>
          <w:rFonts w:ascii="Garamond" w:hAnsi="Garamond"/>
        </w:rPr>
        <w:t xml:space="preserve">  </w:t>
      </w:r>
      <w:r w:rsidR="003D0908">
        <w:rPr>
          <w:rFonts w:ascii="Garamond" w:hAnsi="Garamond"/>
        </w:rPr>
        <w:t>First</w:t>
      </w:r>
      <w:r w:rsidR="00E350E3">
        <w:rPr>
          <w:rFonts w:ascii="Garamond" w:hAnsi="Garamond"/>
        </w:rPr>
        <w:t>,</w:t>
      </w:r>
      <w:r w:rsidR="001E19FA">
        <w:rPr>
          <w:rFonts w:ascii="Garamond" w:hAnsi="Garamond"/>
        </w:rPr>
        <w:t xml:space="preserve"> </w:t>
      </w:r>
      <w:r w:rsidR="00222AD2">
        <w:rPr>
          <w:rFonts w:ascii="Garamond" w:hAnsi="Garamond"/>
        </w:rPr>
        <w:t xml:space="preserve">where a local planning authority </w:t>
      </w:r>
      <w:r w:rsidR="003D0908">
        <w:rPr>
          <w:rFonts w:ascii="Garamond" w:hAnsi="Garamond"/>
        </w:rPr>
        <w:t>was</w:t>
      </w:r>
      <w:r w:rsidR="00222AD2">
        <w:rPr>
          <w:rFonts w:ascii="Garamond" w:hAnsi="Garamond"/>
        </w:rPr>
        <w:t xml:space="preserve"> identified as ‘underperforming’ in respect of planning applications for </w:t>
      </w:r>
      <w:r w:rsidR="00D97BA1">
        <w:rPr>
          <w:rFonts w:ascii="Garamond" w:hAnsi="Garamond"/>
        </w:rPr>
        <w:t>onshore oil and gas, including shale gas,</w:t>
      </w:r>
      <w:r w:rsidR="00222AD2">
        <w:rPr>
          <w:rFonts w:ascii="Garamond" w:hAnsi="Garamond"/>
        </w:rPr>
        <w:t xml:space="preserve"> </w:t>
      </w:r>
      <w:r w:rsidR="001E19FA">
        <w:rPr>
          <w:rFonts w:ascii="Garamond" w:hAnsi="Garamond"/>
        </w:rPr>
        <w:t>the Secretary of State</w:t>
      </w:r>
      <w:r w:rsidR="00222AD2">
        <w:rPr>
          <w:rFonts w:ascii="Garamond" w:hAnsi="Garamond"/>
        </w:rPr>
        <w:t xml:space="preserve"> would ‘actively consider exercising the power under section 77 of the Town and Country Planning Act 1990 to call-in the applications’</w:t>
      </w:r>
      <w:r w:rsidR="001E19FA">
        <w:rPr>
          <w:rFonts w:ascii="Garamond" w:hAnsi="Garamond"/>
        </w:rPr>
        <w:t xml:space="preserve">.  </w:t>
      </w:r>
      <w:r w:rsidR="00E350E3">
        <w:rPr>
          <w:rFonts w:ascii="Garamond" w:hAnsi="Garamond"/>
        </w:rPr>
        <w:t>Secondly</w:t>
      </w:r>
      <w:r w:rsidR="001E19FA">
        <w:rPr>
          <w:rFonts w:ascii="Garamond" w:hAnsi="Garamond"/>
        </w:rPr>
        <w:t>,</w:t>
      </w:r>
      <w:r w:rsidR="00E350E3">
        <w:rPr>
          <w:rFonts w:ascii="Garamond" w:hAnsi="Garamond"/>
        </w:rPr>
        <w:t xml:space="preserve"> </w:t>
      </w:r>
      <w:r w:rsidR="00E83FF9">
        <w:rPr>
          <w:rFonts w:ascii="Garamond" w:hAnsi="Garamond"/>
        </w:rPr>
        <w:t xml:space="preserve">the recovery criteria </w:t>
      </w:r>
      <w:r w:rsidR="004F111F">
        <w:rPr>
          <w:rFonts w:ascii="Garamond" w:hAnsi="Garamond"/>
        </w:rPr>
        <w:t>were</w:t>
      </w:r>
      <w:r w:rsidR="00E83FF9">
        <w:rPr>
          <w:rFonts w:ascii="Garamond" w:hAnsi="Garamond"/>
        </w:rPr>
        <w:t xml:space="preserve"> expanded</w:t>
      </w:r>
      <w:r w:rsidR="00604EA7">
        <w:rPr>
          <w:rFonts w:ascii="Garamond" w:hAnsi="Garamond"/>
        </w:rPr>
        <w:t xml:space="preserve"> so that the Secretary of State could give </w:t>
      </w:r>
      <w:r w:rsidR="0036374C">
        <w:rPr>
          <w:rFonts w:ascii="Garamond" w:hAnsi="Garamond"/>
        </w:rPr>
        <w:t>‘</w:t>
      </w:r>
      <w:r w:rsidR="00604EA7">
        <w:rPr>
          <w:rFonts w:ascii="Garamond" w:hAnsi="Garamond"/>
        </w:rPr>
        <w:t>particular scrutiny</w:t>
      </w:r>
      <w:r w:rsidR="0036374C">
        <w:rPr>
          <w:rFonts w:ascii="Garamond" w:hAnsi="Garamond"/>
        </w:rPr>
        <w:t>’</w:t>
      </w:r>
      <w:r w:rsidR="00604EA7">
        <w:rPr>
          <w:rFonts w:ascii="Garamond" w:hAnsi="Garamond"/>
        </w:rPr>
        <w:t xml:space="preserve"> to appeals against refusals of planning permission for exploring and developing shale gas.</w:t>
      </w:r>
      <w:r w:rsidR="0036374C">
        <w:rPr>
          <w:rStyle w:val="EndnoteReference"/>
          <w:rFonts w:ascii="Garamond" w:hAnsi="Garamond"/>
        </w:rPr>
        <w:endnoteReference w:id="99"/>
      </w:r>
      <w:r w:rsidR="00F834B1">
        <w:rPr>
          <w:rFonts w:ascii="Garamond" w:hAnsi="Garamond"/>
        </w:rPr>
        <w:t xml:space="preserve">  Such appeals would be ‘treated as a priority for urgent resolution’.</w:t>
      </w:r>
      <w:r w:rsidR="00F834B1">
        <w:rPr>
          <w:rStyle w:val="EndnoteReference"/>
          <w:rFonts w:ascii="Garamond" w:hAnsi="Garamond"/>
        </w:rPr>
        <w:endnoteReference w:id="100"/>
      </w:r>
    </w:p>
    <w:p w14:paraId="5C2D8523" w14:textId="77777777" w:rsidR="00BA7569" w:rsidRDefault="00BA7569" w:rsidP="00E72458">
      <w:pPr>
        <w:spacing w:line="360" w:lineRule="auto"/>
        <w:rPr>
          <w:rFonts w:ascii="Garamond" w:hAnsi="Garamond"/>
        </w:rPr>
      </w:pPr>
    </w:p>
    <w:p w14:paraId="4528B84A" w14:textId="3A7E7E8E" w:rsidR="00434B24" w:rsidRDefault="00AB3428" w:rsidP="00E72458">
      <w:pPr>
        <w:spacing w:line="360" w:lineRule="auto"/>
        <w:rPr>
          <w:rFonts w:ascii="Garamond" w:hAnsi="Garamond"/>
        </w:rPr>
      </w:pPr>
      <w:r>
        <w:rPr>
          <w:rFonts w:ascii="Garamond" w:hAnsi="Garamond"/>
        </w:rPr>
        <w:t>It is noteworthy that the amendments created</w:t>
      </w:r>
      <w:r w:rsidR="007E28C7">
        <w:rPr>
          <w:rFonts w:ascii="Garamond" w:hAnsi="Garamond"/>
        </w:rPr>
        <w:t xml:space="preserve"> </w:t>
      </w:r>
      <w:r w:rsidR="00B22C5A">
        <w:rPr>
          <w:rFonts w:ascii="Garamond" w:hAnsi="Garamond"/>
        </w:rPr>
        <w:t xml:space="preserve">separate and distinct criteria for </w:t>
      </w:r>
      <w:r w:rsidR="007E28C7">
        <w:rPr>
          <w:rFonts w:ascii="Garamond" w:hAnsi="Garamond"/>
        </w:rPr>
        <w:t>shale gas projects</w:t>
      </w:r>
      <w:r>
        <w:rPr>
          <w:rFonts w:ascii="Garamond" w:hAnsi="Garamond"/>
        </w:rPr>
        <w:t xml:space="preserve">, because such changes were not strictly necessary.  The </w:t>
      </w:r>
      <w:r w:rsidR="0024575E">
        <w:rPr>
          <w:rFonts w:ascii="Garamond" w:hAnsi="Garamond"/>
        </w:rPr>
        <w:t xml:space="preserve">Secretary of State’s </w:t>
      </w:r>
      <w:r w:rsidR="00FC45E3">
        <w:rPr>
          <w:rFonts w:ascii="Garamond" w:hAnsi="Garamond"/>
        </w:rPr>
        <w:t>prior</w:t>
      </w:r>
      <w:r>
        <w:rPr>
          <w:rFonts w:ascii="Garamond" w:hAnsi="Garamond"/>
        </w:rPr>
        <w:t xml:space="preserve"> </w:t>
      </w:r>
      <w:r w:rsidR="0024575E">
        <w:rPr>
          <w:rFonts w:ascii="Garamond" w:hAnsi="Garamond"/>
        </w:rPr>
        <w:t xml:space="preserve">discretion to </w:t>
      </w:r>
      <w:r w:rsidR="00D91817">
        <w:rPr>
          <w:rFonts w:ascii="Garamond" w:hAnsi="Garamond"/>
        </w:rPr>
        <w:t xml:space="preserve">call-in application and recover appeals was already </w:t>
      </w:r>
      <w:r w:rsidR="00BA0476">
        <w:rPr>
          <w:rFonts w:ascii="Garamond" w:hAnsi="Garamond"/>
        </w:rPr>
        <w:t xml:space="preserve">very </w:t>
      </w:r>
      <w:r w:rsidR="00D91817">
        <w:rPr>
          <w:rFonts w:ascii="Garamond" w:hAnsi="Garamond"/>
        </w:rPr>
        <w:t>wide</w:t>
      </w:r>
      <w:r w:rsidR="007D4601">
        <w:rPr>
          <w:rFonts w:ascii="Garamond" w:hAnsi="Garamond"/>
        </w:rPr>
        <w:t>,</w:t>
      </w:r>
      <w:r w:rsidR="007B2C96">
        <w:rPr>
          <w:rFonts w:ascii="Garamond" w:hAnsi="Garamond"/>
        </w:rPr>
        <w:t xml:space="preserve"> </w:t>
      </w:r>
      <w:r w:rsidR="003F621D">
        <w:rPr>
          <w:rFonts w:ascii="Garamond" w:hAnsi="Garamond"/>
        </w:rPr>
        <w:t xml:space="preserve">and </w:t>
      </w:r>
      <w:r w:rsidR="00981E9E">
        <w:rPr>
          <w:rFonts w:ascii="Garamond" w:hAnsi="Garamond"/>
        </w:rPr>
        <w:t xml:space="preserve">arguably </w:t>
      </w:r>
      <w:r w:rsidR="003F621D">
        <w:rPr>
          <w:rFonts w:ascii="Garamond" w:hAnsi="Garamond"/>
        </w:rPr>
        <w:t xml:space="preserve">unspecific enough to </w:t>
      </w:r>
      <w:r>
        <w:rPr>
          <w:rFonts w:ascii="Garamond" w:hAnsi="Garamond"/>
        </w:rPr>
        <w:t>encompass</w:t>
      </w:r>
      <w:r w:rsidR="003F621D">
        <w:rPr>
          <w:rFonts w:ascii="Garamond" w:hAnsi="Garamond"/>
        </w:rPr>
        <w:t xml:space="preserve"> </w:t>
      </w:r>
      <w:r w:rsidR="007F6FBB">
        <w:rPr>
          <w:rFonts w:ascii="Garamond" w:hAnsi="Garamond"/>
        </w:rPr>
        <w:t>s</w:t>
      </w:r>
      <w:r w:rsidR="00B22C5A">
        <w:rPr>
          <w:rFonts w:ascii="Garamond" w:hAnsi="Garamond"/>
        </w:rPr>
        <w:t>hale gas</w:t>
      </w:r>
      <w:r w:rsidR="007F6FBB">
        <w:rPr>
          <w:rFonts w:ascii="Garamond" w:hAnsi="Garamond"/>
        </w:rPr>
        <w:t xml:space="preserve"> projects</w:t>
      </w:r>
      <w:r w:rsidR="00981E9E">
        <w:rPr>
          <w:rFonts w:ascii="Garamond" w:hAnsi="Garamond"/>
        </w:rPr>
        <w:t xml:space="preserve"> </w:t>
      </w:r>
      <w:r w:rsidR="003F621D">
        <w:rPr>
          <w:rFonts w:ascii="Garamond" w:hAnsi="Garamond"/>
        </w:rPr>
        <w:t xml:space="preserve">without </w:t>
      </w:r>
      <w:r>
        <w:rPr>
          <w:rFonts w:ascii="Garamond" w:hAnsi="Garamond"/>
        </w:rPr>
        <w:t>any</w:t>
      </w:r>
      <w:r w:rsidR="003F621D">
        <w:rPr>
          <w:rFonts w:ascii="Garamond" w:hAnsi="Garamond"/>
        </w:rPr>
        <w:t xml:space="preserve"> need for amendment.</w:t>
      </w:r>
      <w:r w:rsidR="005E4CB0">
        <w:rPr>
          <w:rFonts w:ascii="Garamond" w:hAnsi="Garamond"/>
        </w:rPr>
        <w:t xml:space="preserve">  The </w:t>
      </w:r>
      <w:r w:rsidR="00FC45E3">
        <w:rPr>
          <w:rFonts w:ascii="Garamond" w:hAnsi="Garamond"/>
        </w:rPr>
        <w:t>general</w:t>
      </w:r>
      <w:r w:rsidR="0071445D">
        <w:rPr>
          <w:rFonts w:ascii="Garamond" w:hAnsi="Garamond"/>
        </w:rPr>
        <w:t xml:space="preserve"> </w:t>
      </w:r>
      <w:r w:rsidR="00FC45E3">
        <w:rPr>
          <w:rFonts w:ascii="Garamond" w:hAnsi="Garamond"/>
        </w:rPr>
        <w:t xml:space="preserve">criteria list the sorts of situations </w:t>
      </w:r>
      <w:r w:rsidR="00253483">
        <w:rPr>
          <w:rFonts w:ascii="Garamond" w:hAnsi="Garamond"/>
        </w:rPr>
        <w:t>where</w:t>
      </w:r>
      <w:r w:rsidR="00FC45E3">
        <w:rPr>
          <w:rFonts w:ascii="Garamond" w:hAnsi="Garamond"/>
        </w:rPr>
        <w:t xml:space="preserve"> a </w:t>
      </w:r>
      <w:r w:rsidR="00253483">
        <w:rPr>
          <w:rFonts w:ascii="Garamond" w:hAnsi="Garamond"/>
        </w:rPr>
        <w:t>decision may be called-in or recovered because it involves</w:t>
      </w:r>
      <w:r w:rsidR="00FC45E3">
        <w:rPr>
          <w:rFonts w:ascii="Garamond" w:hAnsi="Garamond"/>
        </w:rPr>
        <w:t xml:space="preserve"> </w:t>
      </w:r>
      <w:r w:rsidR="005E4CB0">
        <w:rPr>
          <w:rFonts w:ascii="Garamond" w:hAnsi="Garamond"/>
        </w:rPr>
        <w:t>issues of ‘more than local significance’ – for instance, where the project gives rise to substantial regional or national controversy, or where it raises important or novel issues of development control and/or legal difficulties</w:t>
      </w:r>
      <w:r w:rsidR="00253483">
        <w:rPr>
          <w:rFonts w:ascii="Garamond" w:hAnsi="Garamond"/>
        </w:rPr>
        <w:t>.  A</w:t>
      </w:r>
      <w:r w:rsidR="005E4CB0">
        <w:rPr>
          <w:rFonts w:ascii="Garamond" w:hAnsi="Garamond"/>
        </w:rPr>
        <w:t>lthough the</w:t>
      </w:r>
      <w:r w:rsidR="0071445D">
        <w:rPr>
          <w:rFonts w:ascii="Garamond" w:hAnsi="Garamond"/>
        </w:rPr>
        <w:t>se</w:t>
      </w:r>
      <w:r w:rsidR="005E4CB0">
        <w:rPr>
          <w:rFonts w:ascii="Garamond" w:hAnsi="Garamond"/>
        </w:rPr>
        <w:t xml:space="preserve"> are not exhaustive of the </w:t>
      </w:r>
      <w:r w:rsidR="0071445D">
        <w:rPr>
          <w:rFonts w:ascii="Garamond" w:hAnsi="Garamond"/>
        </w:rPr>
        <w:t>factors that motivate and legitimate ministerial intervention</w:t>
      </w:r>
      <w:r w:rsidR="005E4CB0">
        <w:rPr>
          <w:rFonts w:ascii="Garamond" w:hAnsi="Garamond"/>
        </w:rPr>
        <w:t xml:space="preserve">, </w:t>
      </w:r>
      <w:r w:rsidR="00EE37F8">
        <w:rPr>
          <w:rFonts w:ascii="Garamond" w:hAnsi="Garamond"/>
        </w:rPr>
        <w:t xml:space="preserve">it </w:t>
      </w:r>
      <w:r w:rsidR="000E35A0">
        <w:rPr>
          <w:rFonts w:ascii="Garamond" w:hAnsi="Garamond"/>
        </w:rPr>
        <w:t>is not</w:t>
      </w:r>
      <w:r w:rsidR="004B55F5">
        <w:rPr>
          <w:rFonts w:ascii="Garamond" w:hAnsi="Garamond"/>
        </w:rPr>
        <w:t xml:space="preserve"> a</w:t>
      </w:r>
      <w:r w:rsidR="00EE37F8">
        <w:rPr>
          <w:rFonts w:ascii="Garamond" w:hAnsi="Garamond"/>
        </w:rPr>
        <w:t xml:space="preserve"> stretch to </w:t>
      </w:r>
      <w:r w:rsidR="00D16879">
        <w:rPr>
          <w:rFonts w:ascii="Garamond" w:hAnsi="Garamond"/>
        </w:rPr>
        <w:t>claim</w:t>
      </w:r>
      <w:r w:rsidR="00204159">
        <w:rPr>
          <w:rFonts w:ascii="Garamond" w:hAnsi="Garamond"/>
        </w:rPr>
        <w:t xml:space="preserve"> that </w:t>
      </w:r>
      <w:r w:rsidR="007F6FBB">
        <w:rPr>
          <w:rFonts w:ascii="Garamond" w:hAnsi="Garamond"/>
        </w:rPr>
        <w:t xml:space="preserve">shale gas </w:t>
      </w:r>
      <w:r w:rsidR="008C6DCC">
        <w:rPr>
          <w:rFonts w:ascii="Garamond" w:hAnsi="Garamond"/>
        </w:rPr>
        <w:t>operations</w:t>
      </w:r>
      <w:r w:rsidR="007F6FBB">
        <w:rPr>
          <w:rFonts w:ascii="Garamond" w:hAnsi="Garamond"/>
        </w:rPr>
        <w:t xml:space="preserve"> could easily have come within the scope of the </w:t>
      </w:r>
      <w:r w:rsidR="00253483">
        <w:rPr>
          <w:rFonts w:ascii="Garamond" w:hAnsi="Garamond"/>
        </w:rPr>
        <w:t>criteria</w:t>
      </w:r>
      <w:r w:rsidR="00512029">
        <w:rPr>
          <w:rFonts w:ascii="Garamond" w:hAnsi="Garamond"/>
        </w:rPr>
        <w:t xml:space="preserve"> in their original form</w:t>
      </w:r>
      <w:r w:rsidR="00CB18C0">
        <w:rPr>
          <w:rFonts w:ascii="Garamond" w:hAnsi="Garamond"/>
        </w:rPr>
        <w:t>.</w:t>
      </w:r>
      <w:r w:rsidR="008430DD">
        <w:rPr>
          <w:rStyle w:val="EndnoteReference"/>
          <w:rFonts w:ascii="Garamond" w:hAnsi="Garamond"/>
        </w:rPr>
        <w:endnoteReference w:id="101"/>
      </w:r>
      <w:r w:rsidR="00CE1FA0">
        <w:rPr>
          <w:rFonts w:ascii="Garamond" w:hAnsi="Garamond"/>
        </w:rPr>
        <w:t xml:space="preserve">  So there was clearly a perceived need to </w:t>
      </w:r>
      <w:r w:rsidR="00D16879">
        <w:rPr>
          <w:rFonts w:ascii="Garamond" w:hAnsi="Garamond"/>
        </w:rPr>
        <w:t>signal that</w:t>
      </w:r>
      <w:r w:rsidR="00CE1FA0">
        <w:rPr>
          <w:rFonts w:ascii="Garamond" w:hAnsi="Garamond"/>
        </w:rPr>
        <w:t xml:space="preserve"> </w:t>
      </w:r>
      <w:r w:rsidR="002666AF">
        <w:rPr>
          <w:rFonts w:ascii="Garamond" w:hAnsi="Garamond"/>
        </w:rPr>
        <w:t>planning decisions regard</w:t>
      </w:r>
      <w:r w:rsidR="00337D01">
        <w:rPr>
          <w:rFonts w:ascii="Garamond" w:hAnsi="Garamond"/>
        </w:rPr>
        <w:t>ing</w:t>
      </w:r>
      <w:r w:rsidR="002666AF">
        <w:rPr>
          <w:rFonts w:ascii="Garamond" w:hAnsi="Garamond"/>
        </w:rPr>
        <w:t xml:space="preserve"> shale gas projects</w:t>
      </w:r>
      <w:r w:rsidR="00CE1FA0">
        <w:rPr>
          <w:rFonts w:ascii="Garamond" w:hAnsi="Garamond"/>
        </w:rPr>
        <w:t xml:space="preserve"> </w:t>
      </w:r>
      <w:r w:rsidR="000F61E3">
        <w:rPr>
          <w:rFonts w:ascii="Garamond" w:hAnsi="Garamond"/>
        </w:rPr>
        <w:t xml:space="preserve">were </w:t>
      </w:r>
      <w:r w:rsidR="00CE1FA0" w:rsidRPr="00337D01">
        <w:rPr>
          <w:rFonts w:ascii="Garamond" w:hAnsi="Garamond"/>
        </w:rPr>
        <w:t>exceptional</w:t>
      </w:r>
      <w:r w:rsidR="00762CC2">
        <w:rPr>
          <w:rFonts w:ascii="Garamond" w:hAnsi="Garamond"/>
        </w:rPr>
        <w:t xml:space="preserve">, even more so than </w:t>
      </w:r>
      <w:r w:rsidR="00337D01">
        <w:rPr>
          <w:rFonts w:ascii="Garamond" w:hAnsi="Garamond"/>
        </w:rPr>
        <w:t xml:space="preserve">other </w:t>
      </w:r>
      <w:r w:rsidR="00762CC2">
        <w:rPr>
          <w:rFonts w:ascii="Garamond" w:hAnsi="Garamond"/>
        </w:rPr>
        <w:t>called-in applications and recovered appeals – which, given the</w:t>
      </w:r>
      <w:r w:rsidR="00337D01">
        <w:rPr>
          <w:rFonts w:ascii="Garamond" w:hAnsi="Garamond"/>
        </w:rPr>
        <w:t>ir</w:t>
      </w:r>
      <w:r w:rsidR="00762CC2">
        <w:rPr>
          <w:rFonts w:ascii="Garamond" w:hAnsi="Garamond"/>
        </w:rPr>
        <w:t xml:space="preserve"> </w:t>
      </w:r>
      <w:r w:rsidR="00A96E9D">
        <w:rPr>
          <w:rFonts w:ascii="Garamond" w:hAnsi="Garamond"/>
        </w:rPr>
        <w:t xml:space="preserve">generally low </w:t>
      </w:r>
      <w:r w:rsidR="00337D01">
        <w:rPr>
          <w:rFonts w:ascii="Garamond" w:hAnsi="Garamond"/>
        </w:rPr>
        <w:t>incidence</w:t>
      </w:r>
      <w:r w:rsidR="00A96E9D">
        <w:rPr>
          <w:rFonts w:ascii="Garamond" w:hAnsi="Garamond"/>
        </w:rPr>
        <w:t xml:space="preserve">, </w:t>
      </w:r>
      <w:r w:rsidR="000F61E3">
        <w:rPr>
          <w:rFonts w:ascii="Garamond" w:hAnsi="Garamond"/>
        </w:rPr>
        <w:t>were</w:t>
      </w:r>
      <w:r w:rsidR="00762CC2">
        <w:rPr>
          <w:rFonts w:ascii="Garamond" w:hAnsi="Garamond"/>
        </w:rPr>
        <w:t xml:space="preserve"> themselves </w:t>
      </w:r>
      <w:r w:rsidR="00A96E9D">
        <w:rPr>
          <w:rFonts w:ascii="Garamond" w:hAnsi="Garamond"/>
        </w:rPr>
        <w:t xml:space="preserve">an </w:t>
      </w:r>
      <w:r w:rsidR="00762CC2">
        <w:rPr>
          <w:rFonts w:ascii="Garamond" w:hAnsi="Garamond"/>
        </w:rPr>
        <w:t xml:space="preserve">exceptional </w:t>
      </w:r>
      <w:r w:rsidR="00337D01">
        <w:rPr>
          <w:rFonts w:ascii="Garamond" w:hAnsi="Garamond"/>
        </w:rPr>
        <w:t>feature of</w:t>
      </w:r>
      <w:r w:rsidR="00762CC2">
        <w:rPr>
          <w:rFonts w:ascii="Garamond" w:hAnsi="Garamond"/>
        </w:rPr>
        <w:t xml:space="preserve"> the normal planning process.</w:t>
      </w:r>
      <w:r w:rsidR="00703C4B">
        <w:rPr>
          <w:rFonts w:ascii="Garamond" w:hAnsi="Garamond"/>
        </w:rPr>
        <w:t xml:space="preserve">  The singling out of shale gas projects ma</w:t>
      </w:r>
      <w:r w:rsidR="00D16879">
        <w:rPr>
          <w:rFonts w:ascii="Garamond" w:hAnsi="Garamond"/>
        </w:rPr>
        <w:t>de</w:t>
      </w:r>
      <w:r w:rsidR="00703C4B">
        <w:rPr>
          <w:rFonts w:ascii="Garamond" w:hAnsi="Garamond"/>
        </w:rPr>
        <w:t xml:space="preserve"> them doubly aberrant, </w:t>
      </w:r>
      <w:r w:rsidR="00703C4B" w:rsidRPr="00703C4B">
        <w:rPr>
          <w:rFonts w:ascii="Garamond" w:hAnsi="Garamond"/>
          <w:i/>
          <w:iCs/>
        </w:rPr>
        <w:t>doubly exceptional</w:t>
      </w:r>
      <w:r w:rsidR="000F61E3">
        <w:rPr>
          <w:rFonts w:ascii="Garamond" w:hAnsi="Garamond"/>
        </w:rPr>
        <w:t xml:space="preserve">, and as </w:t>
      </w:r>
      <w:r w:rsidR="00703C4B">
        <w:rPr>
          <w:rFonts w:ascii="Garamond" w:hAnsi="Garamond"/>
        </w:rPr>
        <w:t xml:space="preserve">an expression of the </w:t>
      </w:r>
      <w:r w:rsidR="00791914">
        <w:rPr>
          <w:rFonts w:ascii="Garamond" w:hAnsi="Garamond"/>
        </w:rPr>
        <w:t xml:space="preserve">potency </w:t>
      </w:r>
      <w:r w:rsidR="00EB7B57">
        <w:rPr>
          <w:rFonts w:ascii="Garamond" w:hAnsi="Garamond"/>
        </w:rPr>
        <w:t xml:space="preserve">and </w:t>
      </w:r>
      <w:r w:rsidR="00703C4B">
        <w:rPr>
          <w:rFonts w:ascii="Garamond" w:hAnsi="Garamond"/>
        </w:rPr>
        <w:t xml:space="preserve">reach of the Secretary of State’s jurisdiction, </w:t>
      </w:r>
      <w:r w:rsidR="000F61E3">
        <w:rPr>
          <w:rFonts w:ascii="Garamond" w:hAnsi="Garamond"/>
        </w:rPr>
        <w:t>this</w:t>
      </w:r>
      <w:r w:rsidR="00703C4B">
        <w:rPr>
          <w:rFonts w:ascii="Garamond" w:hAnsi="Garamond"/>
        </w:rPr>
        <w:t xml:space="preserve"> institute</w:t>
      </w:r>
      <w:r w:rsidR="00D16879">
        <w:rPr>
          <w:rFonts w:ascii="Garamond" w:hAnsi="Garamond"/>
        </w:rPr>
        <w:t>d</w:t>
      </w:r>
      <w:r w:rsidR="00703C4B">
        <w:rPr>
          <w:rFonts w:ascii="Garamond" w:hAnsi="Garamond"/>
        </w:rPr>
        <w:t xml:space="preserve"> a particular relation to the future</w:t>
      </w:r>
      <w:r w:rsidR="002B02C4">
        <w:rPr>
          <w:rFonts w:ascii="Garamond" w:hAnsi="Garamond"/>
        </w:rPr>
        <w:t xml:space="preserve"> – </w:t>
      </w:r>
      <w:r w:rsidR="00434B24">
        <w:rPr>
          <w:rFonts w:ascii="Garamond" w:hAnsi="Garamond"/>
        </w:rPr>
        <w:t>one organised around the temporal logics of emergency.</w:t>
      </w:r>
      <w:r w:rsidR="00791914">
        <w:rPr>
          <w:rFonts w:ascii="Garamond" w:hAnsi="Garamond"/>
        </w:rPr>
        <w:t xml:space="preserve"> </w:t>
      </w:r>
    </w:p>
    <w:p w14:paraId="17AEF48A" w14:textId="221D0084" w:rsidR="00434B24" w:rsidRDefault="00434B24" w:rsidP="00E72458">
      <w:pPr>
        <w:spacing w:line="360" w:lineRule="auto"/>
        <w:rPr>
          <w:rFonts w:ascii="Garamond" w:hAnsi="Garamond"/>
        </w:rPr>
      </w:pPr>
    </w:p>
    <w:p w14:paraId="70A05186" w14:textId="58F2F34A" w:rsidR="00921230" w:rsidRDefault="001E53BA" w:rsidP="00E72458">
      <w:pPr>
        <w:spacing w:line="360" w:lineRule="auto"/>
        <w:rPr>
          <w:rFonts w:ascii="Garamond" w:hAnsi="Garamond"/>
        </w:rPr>
      </w:pPr>
      <w:r>
        <w:rPr>
          <w:rFonts w:ascii="Garamond" w:hAnsi="Garamond"/>
        </w:rPr>
        <w:t xml:space="preserve">A range of work in </w:t>
      </w:r>
      <w:r w:rsidR="00512570">
        <w:rPr>
          <w:rFonts w:ascii="Garamond" w:hAnsi="Garamond"/>
        </w:rPr>
        <w:t>critical geography</w:t>
      </w:r>
      <w:r w:rsidR="00EA089E">
        <w:rPr>
          <w:rFonts w:ascii="Garamond" w:hAnsi="Garamond"/>
        </w:rPr>
        <w:t xml:space="preserve">, </w:t>
      </w:r>
      <w:r w:rsidR="00512570">
        <w:rPr>
          <w:rFonts w:ascii="Garamond" w:hAnsi="Garamond"/>
        </w:rPr>
        <w:t>political theory</w:t>
      </w:r>
      <w:r w:rsidR="00EA089E">
        <w:rPr>
          <w:rFonts w:ascii="Garamond" w:hAnsi="Garamond"/>
        </w:rPr>
        <w:t xml:space="preserve"> and related fields</w:t>
      </w:r>
      <w:r>
        <w:rPr>
          <w:rFonts w:ascii="Garamond" w:hAnsi="Garamond"/>
        </w:rPr>
        <w:t xml:space="preserve"> has </w:t>
      </w:r>
      <w:r w:rsidR="00506FEC">
        <w:rPr>
          <w:rFonts w:ascii="Garamond" w:hAnsi="Garamond"/>
        </w:rPr>
        <w:t>charted</w:t>
      </w:r>
      <w:r>
        <w:rPr>
          <w:rFonts w:ascii="Garamond" w:hAnsi="Garamond"/>
        </w:rPr>
        <w:t xml:space="preserve"> the role of emergency as a</w:t>
      </w:r>
      <w:r w:rsidR="00512570">
        <w:rPr>
          <w:rFonts w:ascii="Garamond" w:hAnsi="Garamond"/>
        </w:rPr>
        <w:t>n indispensable technique of governance in contemporary liberal democratic states.</w:t>
      </w:r>
      <w:r w:rsidR="009A2A58">
        <w:rPr>
          <w:rStyle w:val="EndnoteReference"/>
          <w:rFonts w:ascii="Garamond" w:hAnsi="Garamond"/>
        </w:rPr>
        <w:endnoteReference w:id="102"/>
      </w:r>
      <w:r w:rsidR="0042528D">
        <w:rPr>
          <w:rFonts w:ascii="Garamond" w:hAnsi="Garamond"/>
        </w:rPr>
        <w:t xml:space="preserve">  </w:t>
      </w:r>
      <w:r w:rsidR="009F5597">
        <w:rPr>
          <w:rFonts w:ascii="Garamond" w:hAnsi="Garamond"/>
        </w:rPr>
        <w:t>One</w:t>
      </w:r>
      <w:r w:rsidR="0042528D">
        <w:rPr>
          <w:rFonts w:ascii="Garamond" w:hAnsi="Garamond"/>
        </w:rPr>
        <w:t xml:space="preserve"> reason why </w:t>
      </w:r>
      <w:r w:rsidR="0075655F">
        <w:rPr>
          <w:rFonts w:ascii="Garamond" w:hAnsi="Garamond"/>
        </w:rPr>
        <w:t xml:space="preserve">the notion of governing through emergency </w:t>
      </w:r>
      <w:r w:rsidR="00DE2361">
        <w:rPr>
          <w:rFonts w:ascii="Garamond" w:hAnsi="Garamond"/>
        </w:rPr>
        <w:t>holds appeal</w:t>
      </w:r>
      <w:r w:rsidR="00B45D54">
        <w:rPr>
          <w:rFonts w:ascii="Garamond" w:hAnsi="Garamond"/>
        </w:rPr>
        <w:t xml:space="preserve"> </w:t>
      </w:r>
      <w:r w:rsidR="0075655F">
        <w:rPr>
          <w:rFonts w:ascii="Garamond" w:hAnsi="Garamond"/>
        </w:rPr>
        <w:t xml:space="preserve">is that </w:t>
      </w:r>
      <w:r w:rsidR="00DE2361">
        <w:rPr>
          <w:rFonts w:ascii="Garamond" w:hAnsi="Garamond"/>
        </w:rPr>
        <w:t>it offers a</w:t>
      </w:r>
      <w:r w:rsidR="00E53C13">
        <w:rPr>
          <w:rFonts w:ascii="Garamond" w:hAnsi="Garamond"/>
        </w:rPr>
        <w:t>n alternative</w:t>
      </w:r>
      <w:r w:rsidR="004752B3">
        <w:rPr>
          <w:rFonts w:ascii="Garamond" w:hAnsi="Garamond"/>
        </w:rPr>
        <w:t xml:space="preserve"> </w:t>
      </w:r>
      <w:r w:rsidR="00E53C13">
        <w:rPr>
          <w:rFonts w:ascii="Garamond" w:hAnsi="Garamond"/>
        </w:rPr>
        <w:t>to</w:t>
      </w:r>
      <w:r w:rsidR="004752B3">
        <w:rPr>
          <w:rFonts w:ascii="Garamond" w:hAnsi="Garamond"/>
        </w:rPr>
        <w:t xml:space="preserve"> </w:t>
      </w:r>
      <w:r w:rsidR="00D86906">
        <w:rPr>
          <w:rFonts w:ascii="Garamond" w:hAnsi="Garamond"/>
        </w:rPr>
        <w:t>accounts of the future as an empty, other or even absent time.</w:t>
      </w:r>
      <w:r w:rsidR="00B45D54">
        <w:rPr>
          <w:rFonts w:ascii="Garamond" w:hAnsi="Garamond"/>
        </w:rPr>
        <w:t xml:space="preserve">  This is especially </w:t>
      </w:r>
      <w:r w:rsidR="00661747">
        <w:rPr>
          <w:rFonts w:ascii="Garamond" w:hAnsi="Garamond"/>
        </w:rPr>
        <w:t>pertinent</w:t>
      </w:r>
      <w:r w:rsidR="00BE0D2B">
        <w:rPr>
          <w:rFonts w:ascii="Garamond" w:hAnsi="Garamond"/>
        </w:rPr>
        <w:t xml:space="preserve"> </w:t>
      </w:r>
      <w:r w:rsidR="004752B3">
        <w:rPr>
          <w:rFonts w:ascii="Garamond" w:hAnsi="Garamond"/>
        </w:rPr>
        <w:t>in</w:t>
      </w:r>
      <w:r w:rsidR="00B45D54">
        <w:rPr>
          <w:rFonts w:ascii="Garamond" w:hAnsi="Garamond"/>
        </w:rPr>
        <w:t xml:space="preserve"> </w:t>
      </w:r>
      <w:r w:rsidR="004752B3">
        <w:rPr>
          <w:rFonts w:ascii="Garamond" w:hAnsi="Garamond"/>
        </w:rPr>
        <w:t xml:space="preserve">the context of </w:t>
      </w:r>
      <w:r w:rsidR="00B45D54">
        <w:rPr>
          <w:rFonts w:ascii="Garamond" w:hAnsi="Garamond"/>
        </w:rPr>
        <w:t>land-use planning</w:t>
      </w:r>
      <w:r w:rsidR="004752B3">
        <w:rPr>
          <w:rFonts w:ascii="Garamond" w:hAnsi="Garamond"/>
        </w:rPr>
        <w:t>,</w:t>
      </w:r>
      <w:r w:rsidR="00B45D54">
        <w:rPr>
          <w:rFonts w:ascii="Garamond" w:hAnsi="Garamond"/>
        </w:rPr>
        <w:t xml:space="preserve"> where the future is encountered in innumerable ways and </w:t>
      </w:r>
      <w:r w:rsidR="005614CA">
        <w:rPr>
          <w:rFonts w:ascii="Garamond" w:hAnsi="Garamond"/>
        </w:rPr>
        <w:t>does not comfortably</w:t>
      </w:r>
      <w:r w:rsidR="00B45D54">
        <w:rPr>
          <w:rFonts w:ascii="Garamond" w:hAnsi="Garamond"/>
        </w:rPr>
        <w:t xml:space="preserve"> fit narratives of the futureless present.  </w:t>
      </w:r>
      <w:r w:rsidR="004752B3">
        <w:rPr>
          <w:rFonts w:ascii="Garamond" w:hAnsi="Garamond"/>
        </w:rPr>
        <w:t>E</w:t>
      </w:r>
      <w:r w:rsidR="00B45D54">
        <w:rPr>
          <w:rFonts w:ascii="Garamond" w:hAnsi="Garamond"/>
        </w:rPr>
        <w:t>mergencies scholarship</w:t>
      </w:r>
      <w:r w:rsidR="00D86906">
        <w:rPr>
          <w:rFonts w:ascii="Garamond" w:hAnsi="Garamond"/>
        </w:rPr>
        <w:t xml:space="preserve"> </w:t>
      </w:r>
      <w:r w:rsidR="004752B3">
        <w:rPr>
          <w:rFonts w:ascii="Garamond" w:hAnsi="Garamond"/>
        </w:rPr>
        <w:t>looks</w:t>
      </w:r>
      <w:r w:rsidR="00D86906">
        <w:rPr>
          <w:rFonts w:ascii="Garamond" w:hAnsi="Garamond"/>
        </w:rPr>
        <w:t xml:space="preserve"> </w:t>
      </w:r>
      <w:r w:rsidR="003B741B">
        <w:rPr>
          <w:rFonts w:ascii="Garamond" w:hAnsi="Garamond"/>
        </w:rPr>
        <w:t xml:space="preserve">instead </w:t>
      </w:r>
      <w:r w:rsidR="004752B3">
        <w:rPr>
          <w:rFonts w:ascii="Garamond" w:hAnsi="Garamond"/>
        </w:rPr>
        <w:t>at</w:t>
      </w:r>
      <w:r w:rsidR="00D86906">
        <w:rPr>
          <w:rFonts w:ascii="Garamond" w:hAnsi="Garamond"/>
        </w:rPr>
        <w:t xml:space="preserve"> </w:t>
      </w:r>
      <w:r w:rsidR="00F82FC7">
        <w:rPr>
          <w:rFonts w:ascii="Garamond" w:hAnsi="Garamond"/>
        </w:rPr>
        <w:t xml:space="preserve">how the future </w:t>
      </w:r>
      <w:r w:rsidR="00582E85">
        <w:rPr>
          <w:rFonts w:ascii="Garamond" w:hAnsi="Garamond"/>
        </w:rPr>
        <w:t xml:space="preserve">is already emergent in the present, full of </w:t>
      </w:r>
      <w:r w:rsidR="00221AF6">
        <w:rPr>
          <w:rFonts w:ascii="Garamond" w:hAnsi="Garamond"/>
        </w:rPr>
        <w:t xml:space="preserve">tendencies </w:t>
      </w:r>
      <w:r w:rsidR="00221AF6">
        <w:rPr>
          <w:rFonts w:ascii="Garamond" w:hAnsi="Garamond"/>
        </w:rPr>
        <w:lastRenderedPageBreak/>
        <w:t xml:space="preserve">and </w:t>
      </w:r>
      <w:r w:rsidR="00582E85">
        <w:rPr>
          <w:rFonts w:ascii="Garamond" w:hAnsi="Garamond"/>
        </w:rPr>
        <w:t>just-forming potential</w:t>
      </w:r>
      <w:r w:rsidR="00A324A5">
        <w:rPr>
          <w:rFonts w:ascii="Garamond" w:hAnsi="Garamond"/>
        </w:rPr>
        <w:t xml:space="preserve">, </w:t>
      </w:r>
      <w:r w:rsidR="005F5AFD">
        <w:rPr>
          <w:rFonts w:ascii="Garamond" w:hAnsi="Garamond"/>
        </w:rPr>
        <w:t>build</w:t>
      </w:r>
      <w:r w:rsidR="00A324A5">
        <w:rPr>
          <w:rFonts w:ascii="Garamond" w:hAnsi="Garamond"/>
        </w:rPr>
        <w:t>ing</w:t>
      </w:r>
      <w:r w:rsidR="005F5AFD">
        <w:rPr>
          <w:rFonts w:ascii="Garamond" w:hAnsi="Garamond"/>
        </w:rPr>
        <w:t xml:space="preserve"> affective </w:t>
      </w:r>
      <w:r w:rsidR="00661747">
        <w:rPr>
          <w:rFonts w:ascii="Garamond" w:hAnsi="Garamond"/>
        </w:rPr>
        <w:t>registers</w:t>
      </w:r>
      <w:r w:rsidR="00ED4E81">
        <w:rPr>
          <w:rFonts w:ascii="Garamond" w:hAnsi="Garamond"/>
        </w:rPr>
        <w:t xml:space="preserve"> or</w:t>
      </w:r>
      <w:r w:rsidR="00661747">
        <w:rPr>
          <w:rFonts w:ascii="Garamond" w:hAnsi="Garamond"/>
        </w:rPr>
        <w:t xml:space="preserve"> ‘</w:t>
      </w:r>
      <w:r w:rsidR="005F5AFD">
        <w:rPr>
          <w:rFonts w:ascii="Garamond" w:hAnsi="Garamond"/>
        </w:rPr>
        <w:t>atmospheres’</w:t>
      </w:r>
      <w:r w:rsidR="00B45D54">
        <w:rPr>
          <w:rStyle w:val="EndnoteReference"/>
          <w:rFonts w:ascii="Garamond" w:hAnsi="Garamond"/>
        </w:rPr>
        <w:endnoteReference w:id="103"/>
      </w:r>
      <w:r w:rsidR="0065358A">
        <w:rPr>
          <w:rFonts w:ascii="Garamond" w:hAnsi="Garamond"/>
        </w:rPr>
        <w:t xml:space="preserve"> </w:t>
      </w:r>
      <w:r w:rsidR="001F39B9">
        <w:rPr>
          <w:rFonts w:ascii="Garamond" w:hAnsi="Garamond"/>
        </w:rPr>
        <w:t xml:space="preserve">that </w:t>
      </w:r>
      <w:r w:rsidR="00D64672">
        <w:rPr>
          <w:rFonts w:ascii="Garamond" w:hAnsi="Garamond"/>
        </w:rPr>
        <w:t>induce</w:t>
      </w:r>
      <w:r w:rsidR="001F39B9">
        <w:rPr>
          <w:rFonts w:ascii="Garamond" w:hAnsi="Garamond"/>
        </w:rPr>
        <w:t xml:space="preserve"> or compel action in the current moment.</w:t>
      </w:r>
      <w:r w:rsidR="00D1154B">
        <w:rPr>
          <w:rFonts w:ascii="Garamond" w:hAnsi="Garamond"/>
        </w:rPr>
        <w:t xml:space="preserve">  In </w:t>
      </w:r>
      <w:r w:rsidR="00E877F2">
        <w:rPr>
          <w:rFonts w:ascii="Garamond" w:hAnsi="Garamond"/>
        </w:rPr>
        <w:t xml:space="preserve">this light, </w:t>
      </w:r>
      <w:r w:rsidR="00D1154B">
        <w:rPr>
          <w:rFonts w:ascii="Garamond" w:hAnsi="Garamond"/>
        </w:rPr>
        <w:t xml:space="preserve">emergency </w:t>
      </w:r>
      <w:r w:rsidR="00E877F2">
        <w:rPr>
          <w:rFonts w:ascii="Garamond" w:hAnsi="Garamond"/>
        </w:rPr>
        <w:t>does not denote a single temporal sequence, rather it depends on</w:t>
      </w:r>
      <w:r w:rsidR="00D1154B">
        <w:rPr>
          <w:rFonts w:ascii="Garamond" w:hAnsi="Garamond"/>
        </w:rPr>
        <w:t xml:space="preserve"> the co-existence of multiple temporalities</w:t>
      </w:r>
      <w:r w:rsidR="00921230">
        <w:rPr>
          <w:rFonts w:ascii="Garamond" w:hAnsi="Garamond"/>
        </w:rPr>
        <w:t xml:space="preserve"> </w:t>
      </w:r>
      <w:r w:rsidR="00FE5B1A">
        <w:rPr>
          <w:rFonts w:ascii="Garamond" w:hAnsi="Garamond"/>
        </w:rPr>
        <w:t>through which the future is disclosed</w:t>
      </w:r>
      <w:r w:rsidR="00661747">
        <w:rPr>
          <w:rFonts w:ascii="Garamond" w:hAnsi="Garamond"/>
        </w:rPr>
        <w:t xml:space="preserve"> and </w:t>
      </w:r>
      <w:r w:rsidR="00FE5B1A">
        <w:rPr>
          <w:rFonts w:ascii="Garamond" w:hAnsi="Garamond"/>
        </w:rPr>
        <w:t>related t</w:t>
      </w:r>
      <w:r w:rsidR="00661747">
        <w:rPr>
          <w:rFonts w:ascii="Garamond" w:hAnsi="Garamond"/>
        </w:rPr>
        <w:t>o</w:t>
      </w:r>
      <w:r w:rsidR="00FE5B1A">
        <w:rPr>
          <w:rFonts w:ascii="Garamond" w:hAnsi="Garamond"/>
        </w:rPr>
        <w:t>.</w:t>
      </w:r>
    </w:p>
    <w:p w14:paraId="15849555" w14:textId="1A61AA29" w:rsidR="00921230" w:rsidRDefault="00921230" w:rsidP="00E72458">
      <w:pPr>
        <w:spacing w:line="360" w:lineRule="auto"/>
        <w:rPr>
          <w:rFonts w:ascii="Garamond" w:hAnsi="Garamond"/>
        </w:rPr>
      </w:pPr>
    </w:p>
    <w:p w14:paraId="21843316" w14:textId="7F7CF435" w:rsidR="007D20B2" w:rsidRDefault="00921230" w:rsidP="00E72458">
      <w:pPr>
        <w:spacing w:line="360" w:lineRule="auto"/>
        <w:rPr>
          <w:rFonts w:ascii="Garamond" w:hAnsi="Garamond"/>
        </w:rPr>
      </w:pPr>
      <w:r>
        <w:rPr>
          <w:rFonts w:ascii="Garamond" w:hAnsi="Garamond"/>
        </w:rPr>
        <w:t>Exceptionality is</w:t>
      </w:r>
      <w:r w:rsidR="00315ED3">
        <w:rPr>
          <w:rFonts w:ascii="Garamond" w:hAnsi="Garamond"/>
        </w:rPr>
        <w:t xml:space="preserve"> </w:t>
      </w:r>
      <w:r>
        <w:rPr>
          <w:rFonts w:ascii="Garamond" w:hAnsi="Garamond"/>
        </w:rPr>
        <w:t xml:space="preserve">one such </w:t>
      </w:r>
      <w:r w:rsidR="00661747">
        <w:rPr>
          <w:rFonts w:ascii="Garamond" w:hAnsi="Garamond"/>
        </w:rPr>
        <w:t xml:space="preserve">temporality, </w:t>
      </w:r>
      <w:r w:rsidR="00E52A23">
        <w:rPr>
          <w:rFonts w:ascii="Garamond" w:hAnsi="Garamond"/>
        </w:rPr>
        <w:t>which</w:t>
      </w:r>
      <w:r w:rsidR="00643F6C">
        <w:rPr>
          <w:rFonts w:ascii="Garamond" w:hAnsi="Garamond"/>
        </w:rPr>
        <w:t xml:space="preserve"> </w:t>
      </w:r>
      <w:r w:rsidR="00661747">
        <w:rPr>
          <w:rFonts w:ascii="Garamond" w:hAnsi="Garamond"/>
        </w:rPr>
        <w:t>works by diagnosing</w:t>
      </w:r>
      <w:r w:rsidR="00C2645D">
        <w:rPr>
          <w:rFonts w:ascii="Garamond" w:hAnsi="Garamond"/>
        </w:rPr>
        <w:t xml:space="preserve"> events as rare, time-limited, atypical and therefore in need of some sort of extraordinary governance response.  As Ben Anderson </w:t>
      </w:r>
      <w:r w:rsidR="00875781">
        <w:rPr>
          <w:rFonts w:ascii="Garamond" w:hAnsi="Garamond"/>
        </w:rPr>
        <w:t xml:space="preserve">and colleagues </w:t>
      </w:r>
      <w:r w:rsidR="00C2645D">
        <w:rPr>
          <w:rFonts w:ascii="Garamond" w:hAnsi="Garamond"/>
        </w:rPr>
        <w:t>h</w:t>
      </w:r>
      <w:r w:rsidR="00B37B6D">
        <w:rPr>
          <w:rFonts w:ascii="Garamond" w:hAnsi="Garamond"/>
        </w:rPr>
        <w:t xml:space="preserve">ave comprehensively </w:t>
      </w:r>
      <w:r w:rsidR="00C2645D">
        <w:rPr>
          <w:rFonts w:ascii="Garamond" w:hAnsi="Garamond"/>
        </w:rPr>
        <w:t>shown,</w:t>
      </w:r>
      <w:r w:rsidR="00875781">
        <w:rPr>
          <w:rFonts w:ascii="Garamond" w:hAnsi="Garamond"/>
        </w:rPr>
        <w:t xml:space="preserve"> the ‘state of exception’ </w:t>
      </w:r>
      <w:r w:rsidR="00B37B6D">
        <w:rPr>
          <w:rFonts w:ascii="Garamond" w:hAnsi="Garamond"/>
        </w:rPr>
        <w:t xml:space="preserve">has become so often invoked that it is </w:t>
      </w:r>
      <w:r w:rsidR="00672FA6">
        <w:rPr>
          <w:rFonts w:ascii="Garamond" w:hAnsi="Garamond"/>
        </w:rPr>
        <w:t xml:space="preserve">often </w:t>
      </w:r>
      <w:r w:rsidR="00B37B6D">
        <w:rPr>
          <w:rFonts w:ascii="Garamond" w:hAnsi="Garamond"/>
        </w:rPr>
        <w:t xml:space="preserve">not exceptional at all, </w:t>
      </w:r>
      <w:r w:rsidR="00672FA6">
        <w:rPr>
          <w:rFonts w:ascii="Garamond" w:hAnsi="Garamond"/>
        </w:rPr>
        <w:t>and yet it re</w:t>
      </w:r>
      <w:r w:rsidR="00F456B1">
        <w:rPr>
          <w:rFonts w:ascii="Garamond" w:hAnsi="Garamond"/>
        </w:rPr>
        <w:t>mains</w:t>
      </w:r>
      <w:r w:rsidR="00672FA6">
        <w:rPr>
          <w:rFonts w:ascii="Garamond" w:hAnsi="Garamond"/>
        </w:rPr>
        <w:t xml:space="preserve"> </w:t>
      </w:r>
      <w:r w:rsidR="00F456B1">
        <w:rPr>
          <w:rFonts w:ascii="Garamond" w:hAnsi="Garamond"/>
        </w:rPr>
        <w:t>an insistent force</w:t>
      </w:r>
      <w:r w:rsidR="00460A0C">
        <w:rPr>
          <w:rFonts w:ascii="Garamond" w:hAnsi="Garamond"/>
        </w:rPr>
        <w:t xml:space="preserve"> in </w:t>
      </w:r>
      <w:r w:rsidR="00E52928">
        <w:rPr>
          <w:rFonts w:ascii="Garamond" w:hAnsi="Garamond"/>
        </w:rPr>
        <w:t xml:space="preserve">the </w:t>
      </w:r>
      <w:r w:rsidR="0050404E">
        <w:rPr>
          <w:rFonts w:ascii="Garamond" w:hAnsi="Garamond"/>
        </w:rPr>
        <w:t>expression, exercise and legitimation of political and legal authority</w:t>
      </w:r>
      <w:r w:rsidR="006368DD">
        <w:rPr>
          <w:rFonts w:ascii="Garamond" w:hAnsi="Garamond"/>
        </w:rPr>
        <w:t>.</w:t>
      </w:r>
      <w:r w:rsidR="006368DD">
        <w:rPr>
          <w:rStyle w:val="EndnoteReference"/>
          <w:rFonts w:ascii="Garamond" w:hAnsi="Garamond"/>
        </w:rPr>
        <w:endnoteReference w:id="104"/>
      </w:r>
      <w:r w:rsidR="005D4BF1">
        <w:rPr>
          <w:rFonts w:ascii="Garamond" w:hAnsi="Garamond"/>
        </w:rPr>
        <w:t xml:space="preserve">  In part that force </w:t>
      </w:r>
      <w:r w:rsidR="00956BEF">
        <w:rPr>
          <w:rFonts w:ascii="Garamond" w:hAnsi="Garamond"/>
        </w:rPr>
        <w:t>stems</w:t>
      </w:r>
      <w:r w:rsidR="005D4BF1">
        <w:rPr>
          <w:rFonts w:ascii="Garamond" w:hAnsi="Garamond"/>
        </w:rPr>
        <w:t xml:space="preserve"> from </w:t>
      </w:r>
      <w:r w:rsidR="00956BEF">
        <w:rPr>
          <w:rFonts w:ascii="Garamond" w:hAnsi="Garamond"/>
        </w:rPr>
        <w:t xml:space="preserve">idea that </w:t>
      </w:r>
      <w:r w:rsidR="00B52B4E">
        <w:rPr>
          <w:rFonts w:ascii="Garamond" w:hAnsi="Garamond"/>
        </w:rPr>
        <w:t xml:space="preserve">without intervention </w:t>
      </w:r>
      <w:r w:rsidR="00956BEF">
        <w:rPr>
          <w:rFonts w:ascii="Garamond" w:hAnsi="Garamond"/>
        </w:rPr>
        <w:t>the future might be otherwise</w:t>
      </w:r>
      <w:r w:rsidR="005D4BF1">
        <w:rPr>
          <w:rFonts w:ascii="Garamond" w:hAnsi="Garamond"/>
        </w:rPr>
        <w:t xml:space="preserve">, but it </w:t>
      </w:r>
      <w:r w:rsidR="00A80909">
        <w:rPr>
          <w:rFonts w:ascii="Garamond" w:hAnsi="Garamond"/>
        </w:rPr>
        <w:t>can</w:t>
      </w:r>
      <w:r w:rsidR="00956BEF">
        <w:rPr>
          <w:rFonts w:ascii="Garamond" w:hAnsi="Garamond"/>
        </w:rPr>
        <w:t xml:space="preserve"> be </w:t>
      </w:r>
      <w:r w:rsidR="00B52B4E">
        <w:rPr>
          <w:rFonts w:ascii="Garamond" w:hAnsi="Garamond"/>
        </w:rPr>
        <w:t xml:space="preserve">further </w:t>
      </w:r>
      <w:r w:rsidR="00956BEF">
        <w:rPr>
          <w:rFonts w:ascii="Garamond" w:hAnsi="Garamond"/>
        </w:rPr>
        <w:t>intensified by a sense of urgency that necessitates action</w:t>
      </w:r>
      <w:r w:rsidR="00B52B4E">
        <w:rPr>
          <w:rFonts w:ascii="Garamond" w:hAnsi="Garamond"/>
        </w:rPr>
        <w:t xml:space="preserve"> now</w:t>
      </w:r>
      <w:r w:rsidR="00707BB9">
        <w:rPr>
          <w:rFonts w:ascii="Garamond" w:hAnsi="Garamond"/>
        </w:rPr>
        <w:t>.  Together the temporalities of exceptionality and urgency</w:t>
      </w:r>
      <w:r w:rsidR="007B6898">
        <w:rPr>
          <w:rFonts w:ascii="Garamond" w:hAnsi="Garamond"/>
        </w:rPr>
        <w:t xml:space="preserve"> are characterised by </w:t>
      </w:r>
      <w:r w:rsidR="006D5C99">
        <w:rPr>
          <w:rFonts w:ascii="Garamond" w:hAnsi="Garamond"/>
        </w:rPr>
        <w:t xml:space="preserve">the </w:t>
      </w:r>
      <w:r w:rsidR="007B6898">
        <w:rPr>
          <w:rFonts w:ascii="Garamond" w:hAnsi="Garamond"/>
        </w:rPr>
        <w:t>presence of w</w:t>
      </w:r>
      <w:r w:rsidR="00707BB9">
        <w:rPr>
          <w:rFonts w:ascii="Garamond" w:hAnsi="Garamond"/>
        </w:rPr>
        <w:t>hat Anderson describes as an ‘on-rushing future’</w:t>
      </w:r>
      <w:r w:rsidR="007B6898">
        <w:rPr>
          <w:rStyle w:val="EndnoteReference"/>
          <w:rFonts w:ascii="Garamond" w:hAnsi="Garamond"/>
        </w:rPr>
        <w:endnoteReference w:id="105"/>
      </w:r>
      <w:r w:rsidR="006D5C99">
        <w:rPr>
          <w:rFonts w:ascii="Garamond" w:hAnsi="Garamond"/>
        </w:rPr>
        <w:t xml:space="preserve"> and an imperative to act</w:t>
      </w:r>
      <w:r w:rsidR="00A80909">
        <w:rPr>
          <w:rFonts w:ascii="Garamond" w:hAnsi="Garamond"/>
        </w:rPr>
        <w:t xml:space="preserve"> </w:t>
      </w:r>
      <w:r w:rsidR="00B52B4E">
        <w:rPr>
          <w:rFonts w:ascii="Garamond" w:hAnsi="Garamond"/>
        </w:rPr>
        <w:t>quickly</w:t>
      </w:r>
      <w:r w:rsidR="00C0043F">
        <w:rPr>
          <w:rFonts w:ascii="Garamond" w:hAnsi="Garamond"/>
        </w:rPr>
        <w:t>, creating the conditions for ‘lightning strikes’</w:t>
      </w:r>
      <w:r w:rsidR="00C0043F">
        <w:rPr>
          <w:rStyle w:val="EndnoteReference"/>
          <w:rFonts w:ascii="Garamond" w:hAnsi="Garamond"/>
        </w:rPr>
        <w:endnoteReference w:id="106"/>
      </w:r>
      <w:r w:rsidR="00C0043F">
        <w:rPr>
          <w:rFonts w:ascii="Garamond" w:hAnsi="Garamond"/>
        </w:rPr>
        <w:t xml:space="preserve"> of </w:t>
      </w:r>
      <w:r w:rsidR="0050404E">
        <w:rPr>
          <w:rFonts w:ascii="Garamond" w:hAnsi="Garamond"/>
        </w:rPr>
        <w:t>state power</w:t>
      </w:r>
      <w:r w:rsidR="00C0043F">
        <w:rPr>
          <w:rFonts w:ascii="Garamond" w:hAnsi="Garamond"/>
        </w:rPr>
        <w:t>.</w:t>
      </w:r>
      <w:r w:rsidR="00E34F00">
        <w:rPr>
          <w:rFonts w:ascii="Garamond" w:hAnsi="Garamond"/>
        </w:rPr>
        <w:t xml:space="preserve">  </w:t>
      </w:r>
      <w:r w:rsidR="006821FB">
        <w:rPr>
          <w:rFonts w:ascii="Garamond" w:hAnsi="Garamond"/>
        </w:rPr>
        <w:t xml:space="preserve">These are inseparable from </w:t>
      </w:r>
      <w:r w:rsidR="00953BF7">
        <w:rPr>
          <w:rFonts w:ascii="Garamond" w:hAnsi="Garamond"/>
        </w:rPr>
        <w:t>a</w:t>
      </w:r>
      <w:r w:rsidR="006821FB">
        <w:rPr>
          <w:rFonts w:ascii="Garamond" w:hAnsi="Garamond"/>
        </w:rPr>
        <w:t xml:space="preserve"> temporality of hope</w:t>
      </w:r>
      <w:r w:rsidR="00953BF7">
        <w:rPr>
          <w:rFonts w:ascii="Garamond" w:hAnsi="Garamond"/>
        </w:rPr>
        <w:t xml:space="preserve"> that the future is alterable, and that</w:t>
      </w:r>
      <w:r w:rsidR="006821FB">
        <w:rPr>
          <w:rFonts w:ascii="Garamond" w:hAnsi="Garamond"/>
        </w:rPr>
        <w:t xml:space="preserve"> ‘though the outcome of an event of situation is uncertain, correct action may make a difference</w:t>
      </w:r>
      <w:r w:rsidR="00953BF7">
        <w:rPr>
          <w:rFonts w:ascii="Garamond" w:hAnsi="Garamond"/>
        </w:rPr>
        <w:t>, and that which is threatened might be averted</w:t>
      </w:r>
      <w:r w:rsidR="006821FB">
        <w:rPr>
          <w:rFonts w:ascii="Garamond" w:hAnsi="Garamond"/>
        </w:rPr>
        <w:t>’.</w:t>
      </w:r>
      <w:r w:rsidR="006821FB">
        <w:rPr>
          <w:rStyle w:val="EndnoteReference"/>
          <w:rFonts w:ascii="Garamond" w:hAnsi="Garamond"/>
        </w:rPr>
        <w:endnoteReference w:id="107"/>
      </w:r>
      <w:r w:rsidR="006821FB">
        <w:rPr>
          <w:rFonts w:ascii="Garamond" w:hAnsi="Garamond"/>
        </w:rPr>
        <w:t xml:space="preserve">  </w:t>
      </w:r>
      <w:r w:rsidR="00A22AAC">
        <w:rPr>
          <w:rFonts w:ascii="Garamond" w:hAnsi="Garamond"/>
        </w:rPr>
        <w:t>These</w:t>
      </w:r>
      <w:r w:rsidR="007D20B2">
        <w:rPr>
          <w:rFonts w:ascii="Garamond" w:hAnsi="Garamond"/>
        </w:rPr>
        <w:t xml:space="preserve"> insights offer a different take on</w:t>
      </w:r>
      <w:r w:rsidR="007C374E">
        <w:rPr>
          <w:rFonts w:ascii="Garamond" w:hAnsi="Garamond"/>
        </w:rPr>
        <w:t xml:space="preserve"> styles of governing</w:t>
      </w:r>
      <w:r w:rsidR="007D20B2">
        <w:rPr>
          <w:rFonts w:ascii="Garamond" w:hAnsi="Garamond"/>
        </w:rPr>
        <w:t xml:space="preserve">, </w:t>
      </w:r>
      <w:r w:rsidR="00A76D7A">
        <w:rPr>
          <w:rFonts w:ascii="Garamond" w:hAnsi="Garamond"/>
        </w:rPr>
        <w:t>in that</w:t>
      </w:r>
      <w:r w:rsidR="00282B09">
        <w:rPr>
          <w:rFonts w:ascii="Garamond" w:hAnsi="Garamond"/>
        </w:rPr>
        <w:t xml:space="preserve"> they capture </w:t>
      </w:r>
      <w:r w:rsidR="007D20B2">
        <w:rPr>
          <w:rFonts w:ascii="Garamond" w:hAnsi="Garamond"/>
        </w:rPr>
        <w:t xml:space="preserve">how particular futures and futural dispositions – not just scales and </w:t>
      </w:r>
      <w:proofErr w:type="spellStart"/>
      <w:r w:rsidR="007D20B2">
        <w:rPr>
          <w:rFonts w:ascii="Garamond" w:hAnsi="Garamond"/>
        </w:rPr>
        <w:t>spatialities</w:t>
      </w:r>
      <w:proofErr w:type="spellEnd"/>
      <w:r w:rsidR="007D20B2">
        <w:rPr>
          <w:rFonts w:ascii="Garamond" w:hAnsi="Garamond"/>
        </w:rPr>
        <w:t xml:space="preserve"> – become be folded into claims of jurisdiction.  </w:t>
      </w:r>
    </w:p>
    <w:p w14:paraId="3943AEFD" w14:textId="77777777" w:rsidR="00F9062E" w:rsidRDefault="00F9062E" w:rsidP="00E72458">
      <w:pPr>
        <w:spacing w:line="360" w:lineRule="auto"/>
        <w:rPr>
          <w:rFonts w:ascii="Garamond" w:hAnsi="Garamond"/>
        </w:rPr>
      </w:pPr>
    </w:p>
    <w:p w14:paraId="02F4F82A" w14:textId="67AF3C81" w:rsidR="00BE254F" w:rsidRDefault="00F9062E" w:rsidP="00E72458">
      <w:pPr>
        <w:spacing w:line="360" w:lineRule="auto"/>
        <w:rPr>
          <w:rFonts w:ascii="Garamond" w:hAnsi="Garamond"/>
        </w:rPr>
      </w:pPr>
      <w:r>
        <w:rPr>
          <w:rFonts w:ascii="Garamond" w:hAnsi="Garamond"/>
        </w:rPr>
        <w:t>This provides a basis for revisiting the example of the Secretary of State’s powers of call-in and recovery</w:t>
      </w:r>
      <w:r w:rsidR="00A22AAC">
        <w:rPr>
          <w:rFonts w:ascii="Garamond" w:hAnsi="Garamond"/>
        </w:rPr>
        <w:t xml:space="preserve"> – as a way of exemplifying</w:t>
      </w:r>
      <w:r w:rsidR="007D488C">
        <w:rPr>
          <w:rFonts w:ascii="Garamond" w:hAnsi="Garamond"/>
        </w:rPr>
        <w:t xml:space="preserve"> </w:t>
      </w:r>
      <w:r w:rsidR="00A22AAC">
        <w:rPr>
          <w:rFonts w:ascii="Garamond" w:hAnsi="Garamond"/>
        </w:rPr>
        <w:t>the</w:t>
      </w:r>
      <w:r w:rsidR="007D488C">
        <w:rPr>
          <w:rFonts w:ascii="Garamond" w:hAnsi="Garamond"/>
        </w:rPr>
        <w:t xml:space="preserve"> broader contention that </w:t>
      </w:r>
      <w:r w:rsidR="00C2150A">
        <w:rPr>
          <w:rFonts w:ascii="Garamond" w:hAnsi="Garamond"/>
        </w:rPr>
        <w:t xml:space="preserve">there is scope for </w:t>
      </w:r>
      <w:r>
        <w:rPr>
          <w:rFonts w:ascii="Garamond" w:hAnsi="Garamond"/>
        </w:rPr>
        <w:t>planning law</w:t>
      </w:r>
      <w:r w:rsidR="00C2150A">
        <w:rPr>
          <w:rFonts w:ascii="Garamond" w:hAnsi="Garamond"/>
        </w:rPr>
        <w:t xml:space="preserve"> </w:t>
      </w:r>
      <w:r w:rsidR="00A22AAC">
        <w:rPr>
          <w:rFonts w:ascii="Garamond" w:hAnsi="Garamond"/>
        </w:rPr>
        <w:t>to</w:t>
      </w:r>
      <w:r>
        <w:rPr>
          <w:rFonts w:ascii="Garamond" w:hAnsi="Garamond"/>
        </w:rPr>
        <w:t xml:space="preserve"> figure more largely in efforts to understand the future as an integral</w:t>
      </w:r>
      <w:r w:rsidR="00C2150A">
        <w:rPr>
          <w:rFonts w:ascii="Garamond" w:hAnsi="Garamond"/>
        </w:rPr>
        <w:t xml:space="preserve">, </w:t>
      </w:r>
      <w:r>
        <w:rPr>
          <w:rFonts w:ascii="Garamond" w:hAnsi="Garamond"/>
        </w:rPr>
        <w:t>rather than an additional</w:t>
      </w:r>
      <w:r w:rsidR="00C2150A">
        <w:rPr>
          <w:rFonts w:ascii="Garamond" w:hAnsi="Garamond"/>
        </w:rPr>
        <w:t>,</w:t>
      </w:r>
      <w:r w:rsidR="00A22AAC">
        <w:rPr>
          <w:rFonts w:ascii="Garamond" w:hAnsi="Garamond"/>
        </w:rPr>
        <w:t xml:space="preserve"> </w:t>
      </w:r>
      <w:r>
        <w:rPr>
          <w:rFonts w:ascii="Garamond" w:hAnsi="Garamond"/>
        </w:rPr>
        <w:t xml:space="preserve">part of any </w:t>
      </w:r>
      <w:r w:rsidR="00A22AAC">
        <w:rPr>
          <w:rFonts w:ascii="Garamond" w:hAnsi="Garamond"/>
        </w:rPr>
        <w:t>analysis of power</w:t>
      </w:r>
      <w:r w:rsidR="00C2150A">
        <w:rPr>
          <w:rFonts w:ascii="Garamond" w:hAnsi="Garamond"/>
        </w:rPr>
        <w:t>.</w:t>
      </w:r>
      <w:r w:rsidR="00A27F21">
        <w:rPr>
          <w:rFonts w:ascii="Garamond" w:hAnsi="Garamond"/>
        </w:rPr>
        <w:t xml:space="preserve">  Indeed the re</w:t>
      </w:r>
      <w:r w:rsidR="00D91425">
        <w:rPr>
          <w:rFonts w:ascii="Garamond" w:hAnsi="Garamond"/>
        </w:rPr>
        <w:t>-</w:t>
      </w:r>
      <w:r w:rsidR="00A27F21">
        <w:rPr>
          <w:rFonts w:ascii="Garamond" w:hAnsi="Garamond"/>
        </w:rPr>
        <w:t xml:space="preserve">assertion of the Secretary of State’s jurisdiction in respect of shale gas operations </w:t>
      </w:r>
      <w:r w:rsidR="004120C5">
        <w:rPr>
          <w:rFonts w:ascii="Garamond" w:hAnsi="Garamond"/>
        </w:rPr>
        <w:t>could be read as contributing to</w:t>
      </w:r>
      <w:r w:rsidR="00A27F21">
        <w:rPr>
          <w:rFonts w:ascii="Garamond" w:hAnsi="Garamond"/>
        </w:rPr>
        <w:t xml:space="preserve"> the performative constitution and experience of the future – or rather of multiple, disparate </w:t>
      </w:r>
      <w:r w:rsidR="00EC4EE9">
        <w:rPr>
          <w:rFonts w:ascii="Garamond" w:hAnsi="Garamond"/>
        </w:rPr>
        <w:t xml:space="preserve">(urgent, exceptional, hopeful) </w:t>
      </w:r>
      <w:r w:rsidR="00A27F21">
        <w:rPr>
          <w:rFonts w:ascii="Garamond" w:hAnsi="Garamond"/>
        </w:rPr>
        <w:t>futures ‘held together’</w:t>
      </w:r>
      <w:r w:rsidR="00F67621">
        <w:rPr>
          <w:rStyle w:val="EndnoteReference"/>
          <w:rFonts w:ascii="Garamond" w:hAnsi="Garamond"/>
        </w:rPr>
        <w:endnoteReference w:id="108"/>
      </w:r>
      <w:r w:rsidR="00D1027E">
        <w:rPr>
          <w:rFonts w:ascii="Garamond" w:hAnsi="Garamond"/>
        </w:rPr>
        <w:t xml:space="preserve"> </w:t>
      </w:r>
      <w:r w:rsidR="00F67621">
        <w:rPr>
          <w:rFonts w:ascii="Garamond" w:hAnsi="Garamond"/>
        </w:rPr>
        <w:t>by their not-yet-ness and</w:t>
      </w:r>
      <w:r w:rsidR="00793994">
        <w:rPr>
          <w:rFonts w:ascii="Garamond" w:hAnsi="Garamond"/>
        </w:rPr>
        <w:t xml:space="preserve"> </w:t>
      </w:r>
      <w:r w:rsidR="008E41A9">
        <w:rPr>
          <w:rFonts w:ascii="Garamond" w:hAnsi="Garamond"/>
        </w:rPr>
        <w:t xml:space="preserve">given real-time purpose </w:t>
      </w:r>
      <w:r w:rsidR="00AB75A3">
        <w:rPr>
          <w:rFonts w:ascii="Garamond" w:hAnsi="Garamond"/>
        </w:rPr>
        <w:t>by becoming</w:t>
      </w:r>
      <w:r w:rsidR="000B60E8">
        <w:rPr>
          <w:rFonts w:ascii="Garamond" w:hAnsi="Garamond"/>
        </w:rPr>
        <w:t xml:space="preserve"> the locus of </w:t>
      </w:r>
      <w:r w:rsidR="003B2069">
        <w:rPr>
          <w:rFonts w:ascii="Garamond" w:hAnsi="Garamond"/>
        </w:rPr>
        <w:t>debate</w:t>
      </w:r>
      <w:r w:rsidR="0001508F">
        <w:rPr>
          <w:rFonts w:ascii="Garamond" w:hAnsi="Garamond"/>
        </w:rPr>
        <w:t>.</w:t>
      </w:r>
      <w:r w:rsidR="003B2069">
        <w:rPr>
          <w:rStyle w:val="EndnoteReference"/>
          <w:rFonts w:ascii="Garamond" w:hAnsi="Garamond"/>
        </w:rPr>
        <w:endnoteReference w:id="109"/>
      </w:r>
      <w:r w:rsidR="00D91425">
        <w:rPr>
          <w:rFonts w:ascii="Garamond" w:hAnsi="Garamond"/>
        </w:rPr>
        <w:t xml:space="preserve">  The prefix ‘re’</w:t>
      </w:r>
      <w:r w:rsidR="00257AFE">
        <w:rPr>
          <w:rFonts w:ascii="Garamond" w:hAnsi="Garamond"/>
        </w:rPr>
        <w:t xml:space="preserve"> (re-assertion of jurisdiction)</w:t>
      </w:r>
      <w:r w:rsidR="00D91425">
        <w:rPr>
          <w:rFonts w:ascii="Garamond" w:hAnsi="Garamond"/>
        </w:rPr>
        <w:t xml:space="preserve"> is </w:t>
      </w:r>
      <w:r w:rsidR="00BE254F">
        <w:rPr>
          <w:rFonts w:ascii="Garamond" w:hAnsi="Garamond"/>
        </w:rPr>
        <w:t xml:space="preserve">intentional </w:t>
      </w:r>
      <w:r w:rsidR="00521815">
        <w:rPr>
          <w:rFonts w:ascii="Garamond" w:hAnsi="Garamond"/>
        </w:rPr>
        <w:t>to remind</w:t>
      </w:r>
      <w:r w:rsidR="00BE254F">
        <w:rPr>
          <w:rFonts w:ascii="Garamond" w:hAnsi="Garamond"/>
        </w:rPr>
        <w:t xml:space="preserve"> that </w:t>
      </w:r>
      <w:r w:rsidR="007F3BF2">
        <w:rPr>
          <w:rFonts w:ascii="Garamond" w:hAnsi="Garamond"/>
        </w:rPr>
        <w:t>planning</w:t>
      </w:r>
      <w:r w:rsidR="00257AFE">
        <w:rPr>
          <w:rFonts w:ascii="Garamond" w:hAnsi="Garamond"/>
        </w:rPr>
        <w:t xml:space="preserve"> </w:t>
      </w:r>
      <w:r w:rsidR="007F3BF2">
        <w:rPr>
          <w:rFonts w:ascii="Garamond" w:hAnsi="Garamond"/>
        </w:rPr>
        <w:t xml:space="preserve">legislation already conferred on the </w:t>
      </w:r>
      <w:r w:rsidR="00257AFE">
        <w:rPr>
          <w:rFonts w:ascii="Garamond" w:hAnsi="Garamond"/>
        </w:rPr>
        <w:t xml:space="preserve">Secretary of State very wide discretionary powers </w:t>
      </w:r>
      <w:r w:rsidR="007F3BF2">
        <w:rPr>
          <w:rFonts w:ascii="Garamond" w:hAnsi="Garamond"/>
        </w:rPr>
        <w:t xml:space="preserve">of intervention, wide enough to cover shale gas operations – not just in principle but also in </w:t>
      </w:r>
      <w:r w:rsidR="008D2456">
        <w:rPr>
          <w:rFonts w:ascii="Garamond" w:hAnsi="Garamond"/>
        </w:rPr>
        <w:t>practice</w:t>
      </w:r>
      <w:r w:rsidR="007F3BF2">
        <w:rPr>
          <w:rFonts w:ascii="Garamond" w:hAnsi="Garamond"/>
        </w:rPr>
        <w:t>.</w:t>
      </w:r>
      <w:r w:rsidR="007F3BF2">
        <w:rPr>
          <w:rStyle w:val="EndnoteReference"/>
          <w:rFonts w:ascii="Garamond" w:hAnsi="Garamond"/>
        </w:rPr>
        <w:endnoteReference w:id="110"/>
      </w:r>
      <w:r w:rsidR="00412499">
        <w:rPr>
          <w:rFonts w:ascii="Garamond" w:hAnsi="Garamond"/>
        </w:rPr>
        <w:t xml:space="preserve">  </w:t>
      </w:r>
      <w:r w:rsidR="00521815">
        <w:rPr>
          <w:rFonts w:ascii="Garamond" w:hAnsi="Garamond"/>
        </w:rPr>
        <w:t>Hence</w:t>
      </w:r>
      <w:r w:rsidR="00412499">
        <w:rPr>
          <w:rFonts w:ascii="Garamond" w:hAnsi="Garamond"/>
        </w:rPr>
        <w:t xml:space="preserve"> </w:t>
      </w:r>
      <w:r w:rsidR="007F3BF2">
        <w:rPr>
          <w:rFonts w:ascii="Garamond" w:hAnsi="Garamond"/>
        </w:rPr>
        <w:t xml:space="preserve">the simple bureaucratic act of </w:t>
      </w:r>
      <w:r w:rsidR="00412499">
        <w:rPr>
          <w:rFonts w:ascii="Garamond" w:hAnsi="Garamond"/>
        </w:rPr>
        <w:t xml:space="preserve">extending the call-in and recovery criteria explicitly </w:t>
      </w:r>
      <w:r w:rsidR="009504DF">
        <w:rPr>
          <w:rFonts w:ascii="Garamond" w:hAnsi="Garamond"/>
        </w:rPr>
        <w:t xml:space="preserve">to </w:t>
      </w:r>
      <w:r w:rsidR="00412499">
        <w:rPr>
          <w:rFonts w:ascii="Garamond" w:hAnsi="Garamond"/>
        </w:rPr>
        <w:t xml:space="preserve">include shale gas operations </w:t>
      </w:r>
      <w:r w:rsidR="0071796C">
        <w:rPr>
          <w:rFonts w:ascii="Garamond" w:hAnsi="Garamond"/>
        </w:rPr>
        <w:t>offered</w:t>
      </w:r>
      <w:r w:rsidR="008771D6">
        <w:rPr>
          <w:rFonts w:ascii="Garamond" w:hAnsi="Garamond"/>
        </w:rPr>
        <w:t xml:space="preserve"> </w:t>
      </w:r>
      <w:r w:rsidR="0071796C">
        <w:rPr>
          <w:rFonts w:ascii="Garamond" w:hAnsi="Garamond"/>
        </w:rPr>
        <w:t>a</w:t>
      </w:r>
      <w:r w:rsidR="003E6AB2">
        <w:rPr>
          <w:rFonts w:ascii="Garamond" w:hAnsi="Garamond"/>
        </w:rPr>
        <w:t xml:space="preserve"> means through which ministerial power could be </w:t>
      </w:r>
      <w:r w:rsidR="00D545A5">
        <w:rPr>
          <w:rFonts w:ascii="Garamond" w:hAnsi="Garamond"/>
        </w:rPr>
        <w:t>symbolically</w:t>
      </w:r>
      <w:r w:rsidR="003E6AB2">
        <w:rPr>
          <w:rFonts w:ascii="Garamond" w:hAnsi="Garamond"/>
        </w:rPr>
        <w:t xml:space="preserve"> re-affirmed.  </w:t>
      </w:r>
      <w:r w:rsidR="00D91425">
        <w:rPr>
          <w:rFonts w:ascii="Garamond" w:hAnsi="Garamond"/>
        </w:rPr>
        <w:t>The</w:t>
      </w:r>
      <w:r w:rsidR="003E6AB2">
        <w:rPr>
          <w:rFonts w:ascii="Garamond" w:hAnsi="Garamond"/>
        </w:rPr>
        <w:t>reafter, the</w:t>
      </w:r>
      <w:r w:rsidR="00D91425">
        <w:rPr>
          <w:rFonts w:ascii="Garamond" w:hAnsi="Garamond"/>
        </w:rPr>
        <w:t xml:space="preserve"> </w:t>
      </w:r>
      <w:r w:rsidR="0071796C">
        <w:rPr>
          <w:rFonts w:ascii="Garamond" w:hAnsi="Garamond"/>
        </w:rPr>
        <w:t>debate</w:t>
      </w:r>
      <w:r w:rsidR="008771D6">
        <w:rPr>
          <w:rFonts w:ascii="Garamond" w:hAnsi="Garamond"/>
        </w:rPr>
        <w:t xml:space="preserve"> </w:t>
      </w:r>
      <w:r w:rsidR="00D91425">
        <w:rPr>
          <w:rFonts w:ascii="Garamond" w:hAnsi="Garamond"/>
        </w:rPr>
        <w:t>became not</w:t>
      </w:r>
      <w:r w:rsidR="001A3FA0">
        <w:rPr>
          <w:rFonts w:ascii="Garamond" w:hAnsi="Garamond"/>
        </w:rPr>
        <w:t xml:space="preserve"> about</w:t>
      </w:r>
      <w:r w:rsidR="00D91425">
        <w:rPr>
          <w:rFonts w:ascii="Garamond" w:hAnsi="Garamond"/>
        </w:rPr>
        <w:t xml:space="preserve"> whether</w:t>
      </w:r>
      <w:r w:rsidR="009A0EA3">
        <w:rPr>
          <w:rFonts w:ascii="Garamond" w:hAnsi="Garamond"/>
        </w:rPr>
        <w:t>,</w:t>
      </w:r>
      <w:r w:rsidR="00D91425">
        <w:rPr>
          <w:rFonts w:ascii="Garamond" w:hAnsi="Garamond"/>
        </w:rPr>
        <w:t xml:space="preserve"> but </w:t>
      </w:r>
      <w:r w:rsidR="001A3FA0">
        <w:rPr>
          <w:rFonts w:ascii="Garamond" w:hAnsi="Garamond"/>
        </w:rPr>
        <w:t xml:space="preserve">about </w:t>
      </w:r>
      <w:r w:rsidR="00D91425">
        <w:rPr>
          <w:rFonts w:ascii="Garamond" w:hAnsi="Garamond"/>
        </w:rPr>
        <w:t xml:space="preserve">when and under what circumstances shale gas </w:t>
      </w:r>
      <w:r w:rsidR="00B67822">
        <w:rPr>
          <w:rFonts w:ascii="Garamond" w:hAnsi="Garamond"/>
        </w:rPr>
        <w:t>exploration</w:t>
      </w:r>
      <w:r w:rsidR="00D91425">
        <w:rPr>
          <w:rFonts w:ascii="Garamond" w:hAnsi="Garamond"/>
        </w:rPr>
        <w:t xml:space="preserve"> would be approved.</w:t>
      </w:r>
      <w:r w:rsidR="003E6AB2">
        <w:rPr>
          <w:rStyle w:val="EndnoteReference"/>
          <w:rFonts w:ascii="Garamond" w:hAnsi="Garamond"/>
        </w:rPr>
        <w:endnoteReference w:id="111"/>
      </w:r>
      <w:r w:rsidR="008D2456">
        <w:rPr>
          <w:rFonts w:ascii="Garamond" w:hAnsi="Garamond"/>
        </w:rPr>
        <w:t xml:space="preserve">  The fact that the </w:t>
      </w:r>
      <w:r w:rsidR="008D2456">
        <w:rPr>
          <w:rFonts w:ascii="Garamond" w:hAnsi="Garamond"/>
        </w:rPr>
        <w:lastRenderedPageBreak/>
        <w:t xml:space="preserve">shale gas industry did not, in the end, develop as the UK Government had planned </w:t>
      </w:r>
      <w:r w:rsidR="00BE254F">
        <w:rPr>
          <w:rFonts w:ascii="Garamond" w:hAnsi="Garamond"/>
        </w:rPr>
        <w:t xml:space="preserve">is </w:t>
      </w:r>
      <w:r w:rsidR="00842E73">
        <w:rPr>
          <w:rFonts w:ascii="Garamond" w:hAnsi="Garamond"/>
        </w:rPr>
        <w:t>of little consequence</w:t>
      </w:r>
      <w:r w:rsidR="00BE254F">
        <w:rPr>
          <w:rFonts w:ascii="Garamond" w:hAnsi="Garamond"/>
        </w:rPr>
        <w:t xml:space="preserve">.  It </w:t>
      </w:r>
      <w:r w:rsidR="008D2456">
        <w:rPr>
          <w:rFonts w:ascii="Garamond" w:hAnsi="Garamond"/>
        </w:rPr>
        <w:t xml:space="preserve">does not alter the </w:t>
      </w:r>
      <w:r w:rsidR="00A324A5">
        <w:rPr>
          <w:rFonts w:ascii="Garamond" w:hAnsi="Garamond"/>
        </w:rPr>
        <w:t xml:space="preserve">fact </w:t>
      </w:r>
      <w:r w:rsidR="008D2456">
        <w:rPr>
          <w:rFonts w:ascii="Garamond" w:hAnsi="Garamond"/>
        </w:rPr>
        <w:t xml:space="preserve">that, whether </w:t>
      </w:r>
      <w:r w:rsidR="009A0EA3">
        <w:rPr>
          <w:rFonts w:ascii="Garamond" w:hAnsi="Garamond"/>
        </w:rPr>
        <w:t xml:space="preserve">or not those anticipated futures </w:t>
      </w:r>
      <w:r w:rsidR="00986952">
        <w:rPr>
          <w:rFonts w:ascii="Garamond" w:hAnsi="Garamond"/>
        </w:rPr>
        <w:t xml:space="preserve">materialise, </w:t>
      </w:r>
      <w:r w:rsidR="00EC4EE9">
        <w:rPr>
          <w:rFonts w:ascii="Garamond" w:hAnsi="Garamond"/>
        </w:rPr>
        <w:t>their effects can still be felt in</w:t>
      </w:r>
      <w:r w:rsidR="00986952">
        <w:rPr>
          <w:rFonts w:ascii="Garamond" w:hAnsi="Garamond"/>
        </w:rPr>
        <w:t xml:space="preserve"> </w:t>
      </w:r>
      <w:r w:rsidR="00EC4EE9">
        <w:rPr>
          <w:rFonts w:ascii="Garamond" w:hAnsi="Garamond"/>
        </w:rPr>
        <w:t>the present.</w:t>
      </w:r>
      <w:r w:rsidR="00986952">
        <w:rPr>
          <w:rStyle w:val="EndnoteReference"/>
          <w:rFonts w:ascii="Garamond" w:hAnsi="Garamond"/>
        </w:rPr>
        <w:endnoteReference w:id="112"/>
      </w:r>
      <w:r w:rsidR="009A0EA3">
        <w:rPr>
          <w:rFonts w:ascii="Garamond" w:hAnsi="Garamond"/>
        </w:rPr>
        <w:t xml:space="preserve">  </w:t>
      </w:r>
      <w:r w:rsidR="0084183F">
        <w:rPr>
          <w:rFonts w:ascii="Garamond" w:hAnsi="Garamond"/>
        </w:rPr>
        <w:t xml:space="preserve">  </w:t>
      </w:r>
    </w:p>
    <w:p w14:paraId="79994BCD" w14:textId="77777777" w:rsidR="00BE254F" w:rsidRDefault="00BE254F" w:rsidP="00E72458">
      <w:pPr>
        <w:spacing w:line="360" w:lineRule="auto"/>
        <w:rPr>
          <w:rFonts w:ascii="Garamond" w:hAnsi="Garamond"/>
        </w:rPr>
      </w:pPr>
    </w:p>
    <w:p w14:paraId="0BCAD0C2" w14:textId="581FB4B1" w:rsidR="00842E73" w:rsidRDefault="00D6217E" w:rsidP="00E72458">
      <w:pPr>
        <w:spacing w:line="360" w:lineRule="auto"/>
        <w:rPr>
          <w:rFonts w:ascii="Garamond" w:hAnsi="Garamond"/>
        </w:rPr>
      </w:pPr>
      <w:r>
        <w:rPr>
          <w:rFonts w:ascii="Garamond" w:hAnsi="Garamond"/>
        </w:rPr>
        <w:t>The suggestion here is that g</w:t>
      </w:r>
      <w:r w:rsidR="00D12C47">
        <w:rPr>
          <w:rFonts w:ascii="Garamond" w:hAnsi="Garamond"/>
        </w:rPr>
        <w:t xml:space="preserve">reater scrutiny of the involvement of distinctively legal mechanisms (jurisdiction being a classic example) in engagements with the future </w:t>
      </w:r>
      <w:r w:rsidR="002E35F5">
        <w:rPr>
          <w:rFonts w:ascii="Garamond" w:hAnsi="Garamond"/>
        </w:rPr>
        <w:t>may</w:t>
      </w:r>
      <w:r w:rsidR="00D12C47">
        <w:rPr>
          <w:rFonts w:ascii="Garamond" w:hAnsi="Garamond"/>
        </w:rPr>
        <w:t xml:space="preserve"> open up </w:t>
      </w:r>
      <w:r w:rsidR="00C27A0B">
        <w:rPr>
          <w:rFonts w:ascii="Garamond" w:hAnsi="Garamond"/>
        </w:rPr>
        <w:t>some promising</w:t>
      </w:r>
      <w:r w:rsidR="00D12C47">
        <w:rPr>
          <w:rFonts w:ascii="Garamond" w:hAnsi="Garamond"/>
        </w:rPr>
        <w:t xml:space="preserve"> lines of inquiry </w:t>
      </w:r>
      <w:r w:rsidR="00C27A0B">
        <w:rPr>
          <w:rFonts w:ascii="Garamond" w:hAnsi="Garamond"/>
        </w:rPr>
        <w:t xml:space="preserve">into </w:t>
      </w:r>
      <w:r w:rsidR="00597E85">
        <w:rPr>
          <w:rFonts w:ascii="Garamond" w:hAnsi="Garamond"/>
        </w:rPr>
        <w:t xml:space="preserve">the </w:t>
      </w:r>
      <w:r w:rsidR="00DA7E4F">
        <w:rPr>
          <w:rFonts w:ascii="Garamond" w:hAnsi="Garamond"/>
        </w:rPr>
        <w:t>forms</w:t>
      </w:r>
      <w:r w:rsidR="00597E85">
        <w:rPr>
          <w:rFonts w:ascii="Garamond" w:hAnsi="Garamond"/>
        </w:rPr>
        <w:t xml:space="preserve"> of authority </w:t>
      </w:r>
      <w:r w:rsidR="00C27A0B">
        <w:rPr>
          <w:rFonts w:ascii="Garamond" w:hAnsi="Garamond"/>
        </w:rPr>
        <w:t xml:space="preserve">and legality </w:t>
      </w:r>
      <w:r w:rsidR="00597E85">
        <w:rPr>
          <w:rFonts w:ascii="Garamond" w:hAnsi="Garamond"/>
        </w:rPr>
        <w:t xml:space="preserve">that follow from invoking specific future-orientations.  </w:t>
      </w:r>
      <w:r w:rsidR="00006810">
        <w:rPr>
          <w:rFonts w:ascii="Garamond" w:hAnsi="Garamond"/>
        </w:rPr>
        <w:t>The</w:t>
      </w:r>
      <w:r w:rsidR="008D0A8A">
        <w:rPr>
          <w:rFonts w:ascii="Garamond" w:hAnsi="Garamond"/>
        </w:rPr>
        <w:t xml:space="preserve"> ‘double exceptionality’ of shale gas projects</w:t>
      </w:r>
      <w:r w:rsidR="00DB404A">
        <w:rPr>
          <w:rFonts w:ascii="Garamond" w:hAnsi="Garamond"/>
        </w:rPr>
        <w:t>,</w:t>
      </w:r>
      <w:r w:rsidR="00006810">
        <w:rPr>
          <w:rFonts w:ascii="Garamond" w:hAnsi="Garamond"/>
        </w:rPr>
        <w:t xml:space="preserve"> for instance,</w:t>
      </w:r>
      <w:r w:rsidR="00953BF7">
        <w:rPr>
          <w:rFonts w:ascii="Garamond" w:hAnsi="Garamond"/>
        </w:rPr>
        <w:t xml:space="preserve"> is </w:t>
      </w:r>
      <w:r w:rsidR="005968D5">
        <w:rPr>
          <w:rFonts w:ascii="Garamond" w:hAnsi="Garamond"/>
        </w:rPr>
        <w:t>justified</w:t>
      </w:r>
      <w:r w:rsidR="00953BF7">
        <w:rPr>
          <w:rFonts w:ascii="Garamond" w:hAnsi="Garamond"/>
        </w:rPr>
        <w:t xml:space="preserve"> on the basis of emergency claims that time for action is running out, </w:t>
      </w:r>
      <w:r w:rsidR="005968D5">
        <w:rPr>
          <w:rFonts w:ascii="Garamond" w:hAnsi="Garamond"/>
        </w:rPr>
        <w:t>through</w:t>
      </w:r>
      <w:r w:rsidR="00953BF7">
        <w:rPr>
          <w:rFonts w:ascii="Garamond" w:hAnsi="Garamond"/>
        </w:rPr>
        <w:t xml:space="preserve"> what Adi Ophir calls ‘discursive means of catastrophization’ which work to ‘designate objects to be observed, described, measured and analysed, predicted and interfered with’.</w:t>
      </w:r>
      <w:r w:rsidR="005968D5" w:rsidRPr="005968D5">
        <w:rPr>
          <w:rStyle w:val="EndnoteReference"/>
          <w:rFonts w:ascii="Garamond" w:hAnsi="Garamond"/>
        </w:rPr>
        <w:t xml:space="preserve"> </w:t>
      </w:r>
      <w:r w:rsidR="005968D5">
        <w:rPr>
          <w:rStyle w:val="EndnoteReference"/>
          <w:rFonts w:ascii="Garamond" w:hAnsi="Garamond"/>
        </w:rPr>
        <w:endnoteReference w:id="113"/>
      </w:r>
      <w:r w:rsidR="00953BF7">
        <w:rPr>
          <w:rFonts w:ascii="Garamond" w:hAnsi="Garamond"/>
        </w:rPr>
        <w:t xml:space="preserve">  </w:t>
      </w:r>
      <w:r w:rsidR="005968D5">
        <w:rPr>
          <w:rFonts w:ascii="Garamond" w:hAnsi="Garamond"/>
        </w:rPr>
        <w:t>These discursive processes</w:t>
      </w:r>
      <w:r w:rsidR="00953BF7">
        <w:rPr>
          <w:rFonts w:ascii="Garamond" w:hAnsi="Garamond"/>
        </w:rPr>
        <w:t xml:space="preserve"> construct the future, an imminently catastrophic or threatening future, as the thing to be governed,</w:t>
      </w:r>
      <w:r w:rsidR="005968D5">
        <w:rPr>
          <w:rFonts w:ascii="Garamond" w:hAnsi="Garamond"/>
        </w:rPr>
        <w:t xml:space="preserve"> but more than that they </w:t>
      </w:r>
      <w:r w:rsidR="00B45DA5">
        <w:rPr>
          <w:rFonts w:ascii="Garamond" w:hAnsi="Garamond"/>
        </w:rPr>
        <w:t xml:space="preserve">provide powerful narratives and rhetorical devices that </w:t>
      </w:r>
      <w:r w:rsidR="005968D5">
        <w:rPr>
          <w:rFonts w:ascii="Garamond" w:hAnsi="Garamond"/>
        </w:rPr>
        <w:t>‘tacitly authorize those in power to respond’.</w:t>
      </w:r>
      <w:r w:rsidR="00B45DA5">
        <w:rPr>
          <w:rStyle w:val="EndnoteReference"/>
          <w:rFonts w:ascii="Garamond" w:hAnsi="Garamond"/>
        </w:rPr>
        <w:endnoteReference w:id="114"/>
      </w:r>
      <w:r w:rsidR="00B45DA5">
        <w:rPr>
          <w:rFonts w:ascii="Garamond" w:hAnsi="Garamond"/>
        </w:rPr>
        <w:t xml:space="preserve">  In this context, the thing to be governed is the ‘underperforming’ local planning authority that is perceived to</w:t>
      </w:r>
      <w:r w:rsidR="00B125A2">
        <w:rPr>
          <w:rFonts w:ascii="Garamond" w:hAnsi="Garamond"/>
        </w:rPr>
        <w:t xml:space="preserve"> be</w:t>
      </w:r>
      <w:r w:rsidR="00B45DA5">
        <w:rPr>
          <w:rFonts w:ascii="Garamond" w:hAnsi="Garamond"/>
        </w:rPr>
        <w:t xml:space="preserve"> too slow in deciding shale gas applications,</w:t>
      </w:r>
      <w:r w:rsidR="00B45DA5">
        <w:rPr>
          <w:rStyle w:val="EndnoteReference"/>
          <w:rFonts w:ascii="Garamond" w:hAnsi="Garamond"/>
        </w:rPr>
        <w:endnoteReference w:id="115"/>
      </w:r>
      <w:r w:rsidR="00B45DA5">
        <w:rPr>
          <w:rFonts w:ascii="Garamond" w:hAnsi="Garamond"/>
        </w:rPr>
        <w:t xml:space="preserve"> and so ministerial intervention </w:t>
      </w:r>
      <w:r w:rsidR="00B125A2">
        <w:rPr>
          <w:rFonts w:ascii="Garamond" w:hAnsi="Garamond"/>
        </w:rPr>
        <w:t>is seen as a</w:t>
      </w:r>
      <w:r w:rsidR="00B45DA5">
        <w:rPr>
          <w:rFonts w:ascii="Garamond" w:hAnsi="Garamond"/>
        </w:rPr>
        <w:t xml:space="preserve"> necessary </w:t>
      </w:r>
      <w:r w:rsidR="00B125A2">
        <w:rPr>
          <w:rFonts w:ascii="Garamond" w:hAnsi="Garamond"/>
        </w:rPr>
        <w:t>means of a</w:t>
      </w:r>
      <w:r w:rsidR="00B45DA5">
        <w:rPr>
          <w:rFonts w:ascii="Garamond" w:hAnsi="Garamond"/>
        </w:rPr>
        <w:t>vert</w:t>
      </w:r>
      <w:r w:rsidR="00B125A2">
        <w:rPr>
          <w:rFonts w:ascii="Garamond" w:hAnsi="Garamond"/>
        </w:rPr>
        <w:t>ing</w:t>
      </w:r>
      <w:r w:rsidR="00B45DA5">
        <w:rPr>
          <w:rFonts w:ascii="Garamond" w:hAnsi="Garamond"/>
        </w:rPr>
        <w:t xml:space="preserve"> threats of national energy insecurity, missed economic opportunity and so on.</w:t>
      </w:r>
      <w:r w:rsidR="00B125A2">
        <w:rPr>
          <w:rFonts w:ascii="Garamond" w:hAnsi="Garamond"/>
        </w:rPr>
        <w:t xml:space="preserve">  But the earmarking of shale gas projects </w:t>
      </w:r>
      <w:r w:rsidR="00E9044F">
        <w:rPr>
          <w:rFonts w:ascii="Garamond" w:hAnsi="Garamond"/>
        </w:rPr>
        <w:t>as not just</w:t>
      </w:r>
      <w:r w:rsidR="00B125A2">
        <w:rPr>
          <w:rFonts w:ascii="Garamond" w:hAnsi="Garamond"/>
        </w:rPr>
        <w:t xml:space="preserve"> </w:t>
      </w:r>
      <w:r w:rsidR="00E9044F">
        <w:rPr>
          <w:rFonts w:ascii="Garamond" w:hAnsi="Garamond"/>
        </w:rPr>
        <w:t>a legitimate but also as a necessary target for the Secretary of State’s exercise of her statutory powers</w:t>
      </w:r>
      <w:r w:rsidR="002B6E44">
        <w:rPr>
          <w:rFonts w:ascii="Garamond" w:hAnsi="Garamond"/>
        </w:rPr>
        <w:t xml:space="preserve"> helps to create the conditions </w:t>
      </w:r>
      <w:r w:rsidR="00374300">
        <w:rPr>
          <w:rFonts w:ascii="Garamond" w:hAnsi="Garamond"/>
        </w:rPr>
        <w:t xml:space="preserve">in which </w:t>
      </w:r>
      <w:r w:rsidR="002B6E44">
        <w:rPr>
          <w:rFonts w:ascii="Garamond" w:hAnsi="Garamond"/>
        </w:rPr>
        <w:t>particular future-orientations</w:t>
      </w:r>
      <w:r w:rsidR="00374300">
        <w:rPr>
          <w:rFonts w:ascii="Garamond" w:hAnsi="Garamond"/>
        </w:rPr>
        <w:t xml:space="preserve"> (exceptionality, urgency, hope)</w:t>
      </w:r>
      <w:r w:rsidR="002B6E44">
        <w:rPr>
          <w:rFonts w:ascii="Garamond" w:hAnsi="Garamond"/>
        </w:rPr>
        <w:t xml:space="preserve"> take hold, becoming institutionally stabilised and etched on the public consciousness.</w:t>
      </w:r>
      <w:r w:rsidR="002B6E44">
        <w:rPr>
          <w:rStyle w:val="EndnoteReference"/>
          <w:rFonts w:ascii="Garamond" w:hAnsi="Garamond"/>
        </w:rPr>
        <w:endnoteReference w:id="116"/>
      </w:r>
      <w:r w:rsidR="002B6E44">
        <w:rPr>
          <w:rFonts w:ascii="Garamond" w:hAnsi="Garamond"/>
        </w:rPr>
        <w:t xml:space="preserve"> </w:t>
      </w:r>
      <w:r w:rsidR="00E9044F">
        <w:rPr>
          <w:rFonts w:ascii="Garamond" w:hAnsi="Garamond"/>
        </w:rPr>
        <w:t xml:space="preserve"> </w:t>
      </w:r>
      <w:r w:rsidR="00B45DA5">
        <w:rPr>
          <w:rFonts w:ascii="Garamond" w:hAnsi="Garamond"/>
        </w:rPr>
        <w:t xml:space="preserve">  </w:t>
      </w:r>
    </w:p>
    <w:p w14:paraId="5363C99C" w14:textId="363A414F" w:rsidR="001E4164" w:rsidRDefault="001E4164" w:rsidP="00E72458">
      <w:pPr>
        <w:spacing w:line="360" w:lineRule="auto"/>
        <w:rPr>
          <w:rFonts w:ascii="Garamond" w:hAnsi="Garamond"/>
        </w:rPr>
      </w:pPr>
    </w:p>
    <w:p w14:paraId="20AD0B44" w14:textId="6D045833" w:rsidR="003F69CD" w:rsidRDefault="001E4164" w:rsidP="00E72458">
      <w:pPr>
        <w:spacing w:line="360" w:lineRule="auto"/>
        <w:rPr>
          <w:rFonts w:ascii="Garamond" w:hAnsi="Garamond"/>
        </w:rPr>
      </w:pPr>
      <w:r>
        <w:rPr>
          <w:rFonts w:ascii="Garamond" w:hAnsi="Garamond"/>
        </w:rPr>
        <w:t xml:space="preserve">One way of taking this further might be </w:t>
      </w:r>
      <w:r w:rsidR="00D43585">
        <w:rPr>
          <w:rFonts w:ascii="Garamond" w:hAnsi="Garamond"/>
        </w:rPr>
        <w:t>examine the future-making effects of the Secretary of State’s jurisdiction on</w:t>
      </w:r>
      <w:r>
        <w:rPr>
          <w:rFonts w:ascii="Garamond" w:hAnsi="Garamond"/>
        </w:rPr>
        <w:t xml:space="preserve"> decision-making </w:t>
      </w:r>
      <w:r w:rsidR="00CC102E">
        <w:rPr>
          <w:rFonts w:ascii="Garamond" w:hAnsi="Garamond"/>
        </w:rPr>
        <w:t>in the local planning regime</w:t>
      </w:r>
      <w:r w:rsidR="00F346CF">
        <w:rPr>
          <w:rFonts w:ascii="Garamond" w:hAnsi="Garamond"/>
        </w:rPr>
        <w:t xml:space="preserve">, before the powers of call-in and recovery have even been exercised.  The question </w:t>
      </w:r>
      <w:r w:rsidR="00CC102E">
        <w:rPr>
          <w:rFonts w:ascii="Garamond" w:hAnsi="Garamond"/>
        </w:rPr>
        <w:t>this raises, which can be addressed empirically, is</w:t>
      </w:r>
      <w:r w:rsidR="00F346CF">
        <w:rPr>
          <w:rFonts w:ascii="Garamond" w:hAnsi="Garamond"/>
        </w:rPr>
        <w:t xml:space="preserve"> whether and in what ways the </w:t>
      </w:r>
      <w:r w:rsidR="006C53E1">
        <w:rPr>
          <w:rFonts w:ascii="Garamond" w:hAnsi="Garamond"/>
        </w:rPr>
        <w:t>potential for</w:t>
      </w:r>
      <w:r w:rsidR="00F346CF">
        <w:rPr>
          <w:rFonts w:ascii="Garamond" w:hAnsi="Garamond"/>
        </w:rPr>
        <w:t xml:space="preserve"> </w:t>
      </w:r>
      <w:r w:rsidR="00CC102E">
        <w:rPr>
          <w:rFonts w:ascii="Garamond" w:hAnsi="Garamond"/>
        </w:rPr>
        <w:t>ministerial intervention</w:t>
      </w:r>
      <w:r>
        <w:rPr>
          <w:rFonts w:ascii="Garamond" w:hAnsi="Garamond"/>
        </w:rPr>
        <w:t xml:space="preserve"> </w:t>
      </w:r>
      <w:r w:rsidR="00F346CF">
        <w:rPr>
          <w:rFonts w:ascii="Garamond" w:hAnsi="Garamond"/>
        </w:rPr>
        <w:t xml:space="preserve">influences how </w:t>
      </w:r>
      <w:r w:rsidR="00CC102E">
        <w:rPr>
          <w:rFonts w:ascii="Garamond" w:hAnsi="Garamond"/>
        </w:rPr>
        <w:t>a</w:t>
      </w:r>
      <w:r w:rsidR="00F346CF">
        <w:rPr>
          <w:rFonts w:ascii="Garamond" w:hAnsi="Garamond"/>
        </w:rPr>
        <w:t xml:space="preserve"> local planning authority</w:t>
      </w:r>
      <w:r w:rsidR="00CC102E">
        <w:rPr>
          <w:rFonts w:ascii="Garamond" w:hAnsi="Garamond"/>
        </w:rPr>
        <w:t xml:space="preserve"> determines a planning application, or how the Planning Inspectorate determines an appeal.  </w:t>
      </w:r>
      <w:r w:rsidR="006C53E1">
        <w:rPr>
          <w:rFonts w:ascii="Garamond" w:hAnsi="Garamond"/>
        </w:rPr>
        <w:t>It is clear that the Government’s policy on shale gas, expressed in the same Written Statement that amended the criteria for calling-in applications and recovering appeals, is capable of being a material consideration when deciding permission.</w:t>
      </w:r>
      <w:r w:rsidR="003D2930">
        <w:rPr>
          <w:rStyle w:val="EndnoteReference"/>
          <w:rFonts w:ascii="Garamond" w:hAnsi="Garamond"/>
        </w:rPr>
        <w:endnoteReference w:id="117"/>
      </w:r>
      <w:r w:rsidR="006C53E1">
        <w:rPr>
          <w:rFonts w:ascii="Garamond" w:hAnsi="Garamond"/>
        </w:rPr>
        <w:t xml:space="preserve">  Less clear are the </w:t>
      </w:r>
      <w:r w:rsidR="002B21F5">
        <w:rPr>
          <w:rFonts w:ascii="Garamond" w:hAnsi="Garamond"/>
        </w:rPr>
        <w:t>more subtle</w:t>
      </w:r>
      <w:r w:rsidR="006A16F9">
        <w:rPr>
          <w:rFonts w:ascii="Garamond" w:hAnsi="Garamond"/>
        </w:rPr>
        <w:t xml:space="preserve"> </w:t>
      </w:r>
      <w:r w:rsidR="006C53E1">
        <w:rPr>
          <w:rFonts w:ascii="Garamond" w:hAnsi="Garamond"/>
        </w:rPr>
        <w:t xml:space="preserve">ways in which the </w:t>
      </w:r>
      <w:r w:rsidR="006C53E1" w:rsidRPr="006C53E1">
        <w:rPr>
          <w:rFonts w:ascii="Garamond" w:hAnsi="Garamond"/>
          <w:i/>
          <w:iCs/>
        </w:rPr>
        <w:t xml:space="preserve">prospect </w:t>
      </w:r>
      <w:r w:rsidR="006C53E1">
        <w:rPr>
          <w:rFonts w:ascii="Garamond" w:hAnsi="Garamond"/>
        </w:rPr>
        <w:t>of call-in or recovery</w:t>
      </w:r>
      <w:r w:rsidR="002B21F5">
        <w:rPr>
          <w:rFonts w:ascii="Garamond" w:hAnsi="Garamond"/>
        </w:rPr>
        <w:t xml:space="preserve"> </w:t>
      </w:r>
      <w:r w:rsidR="001C102D">
        <w:rPr>
          <w:rFonts w:ascii="Garamond" w:hAnsi="Garamond"/>
        </w:rPr>
        <w:t xml:space="preserve">might </w:t>
      </w:r>
      <w:r w:rsidR="002B21F5">
        <w:rPr>
          <w:rFonts w:ascii="Garamond" w:hAnsi="Garamond"/>
        </w:rPr>
        <w:t xml:space="preserve">shape how </w:t>
      </w:r>
      <w:r w:rsidR="00CF13C5">
        <w:rPr>
          <w:rFonts w:ascii="Garamond" w:hAnsi="Garamond"/>
        </w:rPr>
        <w:t xml:space="preserve">local planning </w:t>
      </w:r>
      <w:r w:rsidR="002B21F5">
        <w:rPr>
          <w:rFonts w:ascii="Garamond" w:hAnsi="Garamond"/>
        </w:rPr>
        <w:t>decisions are taken.</w:t>
      </w:r>
      <w:r w:rsidR="006A16F9">
        <w:rPr>
          <w:rFonts w:ascii="Garamond" w:hAnsi="Garamond"/>
        </w:rPr>
        <w:t xml:space="preserve">  These effects </w:t>
      </w:r>
      <w:r w:rsidR="00CF13C5">
        <w:rPr>
          <w:rFonts w:ascii="Garamond" w:hAnsi="Garamond"/>
        </w:rPr>
        <w:t>are</w:t>
      </w:r>
      <w:r w:rsidR="006A16F9">
        <w:rPr>
          <w:rFonts w:ascii="Garamond" w:hAnsi="Garamond"/>
        </w:rPr>
        <w:t xml:space="preserve"> </w:t>
      </w:r>
      <w:r w:rsidR="00F903E5">
        <w:rPr>
          <w:rFonts w:ascii="Garamond" w:hAnsi="Garamond"/>
        </w:rPr>
        <w:t xml:space="preserve">more </w:t>
      </w:r>
      <w:r w:rsidR="00CF13C5">
        <w:rPr>
          <w:rFonts w:ascii="Garamond" w:hAnsi="Garamond"/>
        </w:rPr>
        <w:t>likely to be</w:t>
      </w:r>
      <w:r w:rsidR="00C436BF">
        <w:rPr>
          <w:rFonts w:ascii="Garamond" w:hAnsi="Garamond"/>
        </w:rPr>
        <w:t xml:space="preserve"> missed when the powers of call-in and recovery are </w:t>
      </w:r>
      <w:r w:rsidR="00F81D14">
        <w:rPr>
          <w:rFonts w:ascii="Garamond" w:hAnsi="Garamond"/>
        </w:rPr>
        <w:t>addressed</w:t>
      </w:r>
      <w:r w:rsidR="00F903E5">
        <w:rPr>
          <w:rFonts w:ascii="Garamond" w:hAnsi="Garamond"/>
        </w:rPr>
        <w:t xml:space="preserve"> as issues of jurisdictional scale.  The trouble with </w:t>
      </w:r>
      <w:r w:rsidR="00F903E5" w:rsidRPr="00F903E5">
        <w:rPr>
          <w:rFonts w:ascii="Garamond" w:hAnsi="Garamond"/>
        </w:rPr>
        <w:t>conventional scalar analysis, Mariana Valverde has observed,</w:t>
      </w:r>
      <w:r w:rsidR="00F903E5" w:rsidRPr="00F903E5">
        <w:rPr>
          <w:rFonts w:ascii="Garamond" w:hAnsi="Garamond"/>
          <w:vertAlign w:val="superscript"/>
        </w:rPr>
        <w:endnoteReference w:id="118"/>
      </w:r>
      <w:r w:rsidR="00F903E5" w:rsidRPr="00F903E5">
        <w:rPr>
          <w:rFonts w:ascii="Garamond" w:hAnsi="Garamond"/>
        </w:rPr>
        <w:t xml:space="preserve"> is that is underpinned by a zero-sum understanding </w:t>
      </w:r>
      <w:r w:rsidR="00F903E5" w:rsidRPr="00F903E5">
        <w:rPr>
          <w:rFonts w:ascii="Garamond" w:hAnsi="Garamond"/>
        </w:rPr>
        <w:lastRenderedPageBreak/>
        <w:t xml:space="preserve">of jurisdiction, which in this context means that </w:t>
      </w:r>
      <w:r w:rsidR="00F903E5" w:rsidRPr="00F903E5">
        <w:rPr>
          <w:rFonts w:ascii="Garamond" w:hAnsi="Garamond"/>
          <w:i/>
          <w:iCs/>
        </w:rPr>
        <w:t>either</w:t>
      </w:r>
      <w:r w:rsidR="00F903E5" w:rsidRPr="00F903E5">
        <w:rPr>
          <w:rFonts w:ascii="Garamond" w:hAnsi="Garamond"/>
        </w:rPr>
        <w:t xml:space="preserve"> the Secretary of State has jurisdiction </w:t>
      </w:r>
      <w:r w:rsidR="00F903E5" w:rsidRPr="00F903E5">
        <w:rPr>
          <w:rFonts w:ascii="Garamond" w:hAnsi="Garamond"/>
          <w:i/>
          <w:iCs/>
        </w:rPr>
        <w:t>or</w:t>
      </w:r>
      <w:r w:rsidR="00F903E5" w:rsidRPr="00F903E5">
        <w:rPr>
          <w:rFonts w:ascii="Garamond" w:hAnsi="Garamond"/>
        </w:rPr>
        <w:t xml:space="preserve"> the local planning authority does</w:t>
      </w:r>
      <w:r w:rsidR="00F903E5">
        <w:rPr>
          <w:rFonts w:ascii="Garamond" w:hAnsi="Garamond"/>
        </w:rPr>
        <w:t>.  But the realities of governance are not so clear-cut.</w:t>
      </w:r>
      <w:r w:rsidR="007F5DC7">
        <w:rPr>
          <w:rFonts w:ascii="Garamond" w:hAnsi="Garamond"/>
        </w:rPr>
        <w:t xml:space="preserve">  C</w:t>
      </w:r>
      <w:r w:rsidR="00F903E5" w:rsidRPr="00F903E5">
        <w:rPr>
          <w:rFonts w:ascii="Garamond" w:hAnsi="Garamond"/>
        </w:rPr>
        <w:t>entral and local government may often be in tension or conflict but they are not opposites – their functions and powers can combine, overlap and interact in various ways.</w:t>
      </w:r>
      <w:r w:rsidR="00461337">
        <w:rPr>
          <w:rFonts w:ascii="Garamond" w:hAnsi="Garamond"/>
        </w:rPr>
        <w:t xml:space="preserve">  Thus there may be value in examining the consequences of Secretary of State’s powers of call-in and recovery for local planning, specifically when those powers are not exercised but are anticipated, pre-empted and experienced as ‘looming or pressing in’.</w:t>
      </w:r>
      <w:r w:rsidR="00461337">
        <w:rPr>
          <w:rStyle w:val="EndnoteReference"/>
          <w:rFonts w:ascii="Garamond" w:hAnsi="Garamond"/>
        </w:rPr>
        <w:endnoteReference w:id="119"/>
      </w:r>
      <w:r w:rsidR="00461337">
        <w:rPr>
          <w:rFonts w:ascii="Garamond" w:hAnsi="Garamond"/>
        </w:rPr>
        <w:t xml:space="preserve">  It suggests </w:t>
      </w:r>
      <w:r w:rsidR="00554D1B">
        <w:rPr>
          <w:rFonts w:ascii="Garamond" w:hAnsi="Garamond"/>
        </w:rPr>
        <w:t xml:space="preserve">at least that </w:t>
      </w:r>
      <w:r w:rsidR="00323487">
        <w:rPr>
          <w:rFonts w:ascii="Garamond" w:hAnsi="Garamond"/>
        </w:rPr>
        <w:t xml:space="preserve">the Secretary of State’s jurisdiction </w:t>
      </w:r>
      <w:r w:rsidR="00BE7B84">
        <w:rPr>
          <w:rFonts w:ascii="Garamond" w:hAnsi="Garamond"/>
        </w:rPr>
        <w:t xml:space="preserve">can also be studied </w:t>
      </w:r>
      <w:r w:rsidR="00A47628">
        <w:rPr>
          <w:rFonts w:ascii="Garamond" w:hAnsi="Garamond"/>
        </w:rPr>
        <w:t>as a</w:t>
      </w:r>
      <w:r w:rsidR="00BE7B84">
        <w:rPr>
          <w:rFonts w:ascii="Garamond" w:hAnsi="Garamond"/>
        </w:rPr>
        <w:t xml:space="preserve"> temporal realm of expectation and imminence.</w:t>
      </w:r>
    </w:p>
    <w:p w14:paraId="5EB75A1B" w14:textId="77777777" w:rsidR="005C65BA" w:rsidRDefault="005C65BA" w:rsidP="00E72458">
      <w:pPr>
        <w:spacing w:line="360" w:lineRule="auto"/>
        <w:rPr>
          <w:rFonts w:ascii="Garamond" w:hAnsi="Garamond"/>
        </w:rPr>
      </w:pPr>
    </w:p>
    <w:p w14:paraId="7E4B2360" w14:textId="3102955E" w:rsidR="005862CF" w:rsidRPr="00A72C2F" w:rsidRDefault="005862CF" w:rsidP="00E72458">
      <w:pPr>
        <w:spacing w:line="360" w:lineRule="auto"/>
        <w:rPr>
          <w:rFonts w:ascii="Garamond" w:hAnsi="Garamond"/>
          <w:b/>
          <w:bCs/>
          <w:sz w:val="28"/>
          <w:szCs w:val="28"/>
        </w:rPr>
      </w:pPr>
      <w:r w:rsidRPr="00A72C2F">
        <w:rPr>
          <w:rFonts w:ascii="Garamond" w:hAnsi="Garamond"/>
          <w:b/>
          <w:bCs/>
          <w:sz w:val="28"/>
          <w:szCs w:val="28"/>
        </w:rPr>
        <w:t>Conclu</w:t>
      </w:r>
      <w:r w:rsidR="00A72C2F">
        <w:rPr>
          <w:rFonts w:ascii="Garamond" w:hAnsi="Garamond"/>
          <w:b/>
          <w:bCs/>
          <w:sz w:val="28"/>
          <w:szCs w:val="28"/>
        </w:rPr>
        <w:t>ding Remarks</w:t>
      </w:r>
    </w:p>
    <w:p w14:paraId="4D191991" w14:textId="17093BC9" w:rsidR="00C96786" w:rsidRPr="00FB315A" w:rsidRDefault="001B10AC" w:rsidP="00E72458">
      <w:pPr>
        <w:pBdr>
          <w:top w:val="single" w:sz="4" w:space="1" w:color="auto"/>
          <w:left w:val="single" w:sz="4" w:space="4" w:color="auto"/>
          <w:bottom w:val="single" w:sz="4" w:space="1" w:color="auto"/>
          <w:right w:val="single" w:sz="4" w:space="4" w:color="auto"/>
        </w:pBdr>
        <w:spacing w:line="360" w:lineRule="auto"/>
        <w:rPr>
          <w:rFonts w:ascii="Garamond" w:hAnsi="Garamond"/>
          <w:highlight w:val="lightGray"/>
        </w:rPr>
      </w:pPr>
      <w:r w:rsidRPr="00FB315A">
        <w:rPr>
          <w:rFonts w:ascii="Garamond" w:hAnsi="Garamond"/>
          <w:highlight w:val="lightGray"/>
        </w:rPr>
        <w:t>NOTES:</w:t>
      </w:r>
    </w:p>
    <w:p w14:paraId="53D7FB77" w14:textId="66E65062" w:rsidR="00FB315A" w:rsidRPr="00FB315A" w:rsidRDefault="00FB315A" w:rsidP="00E72458">
      <w:pPr>
        <w:pBdr>
          <w:top w:val="single" w:sz="4" w:space="1" w:color="auto"/>
          <w:left w:val="single" w:sz="4" w:space="4" w:color="auto"/>
          <w:bottom w:val="single" w:sz="4" w:space="1" w:color="auto"/>
          <w:right w:val="single" w:sz="4" w:space="4" w:color="auto"/>
        </w:pBdr>
        <w:spacing w:line="360" w:lineRule="auto"/>
        <w:rPr>
          <w:rFonts w:ascii="Garamond" w:hAnsi="Garamond"/>
          <w:highlight w:val="lightGray"/>
        </w:rPr>
      </w:pPr>
      <w:r w:rsidRPr="00FB315A">
        <w:rPr>
          <w:rFonts w:ascii="Garamond" w:hAnsi="Garamond"/>
          <w:highlight w:val="lightGray"/>
        </w:rPr>
        <w:t>The importance of planning law as a repository of futures, future-orientations etc.</w:t>
      </w:r>
    </w:p>
    <w:p w14:paraId="08172359" w14:textId="77777777" w:rsidR="001B10AC" w:rsidRPr="00FB315A" w:rsidRDefault="001B10AC" w:rsidP="00E72458">
      <w:pPr>
        <w:pBdr>
          <w:top w:val="single" w:sz="4" w:space="1" w:color="auto"/>
          <w:left w:val="single" w:sz="4" w:space="4" w:color="auto"/>
          <w:bottom w:val="single" w:sz="4" w:space="1" w:color="auto"/>
          <w:right w:val="single" w:sz="4" w:space="4" w:color="auto"/>
        </w:pBdr>
        <w:spacing w:line="360" w:lineRule="auto"/>
        <w:rPr>
          <w:rFonts w:ascii="Garamond" w:hAnsi="Garamond"/>
          <w:highlight w:val="lightGray"/>
        </w:rPr>
      </w:pPr>
      <w:r w:rsidRPr="00FB315A">
        <w:rPr>
          <w:rFonts w:ascii="Garamond" w:hAnsi="Garamond"/>
          <w:highlight w:val="lightGray"/>
        </w:rPr>
        <w:t>F</w:t>
      </w:r>
      <w:r w:rsidR="00077611" w:rsidRPr="00FB315A">
        <w:rPr>
          <w:rFonts w:ascii="Garamond" w:hAnsi="Garamond"/>
          <w:highlight w:val="lightGray"/>
        </w:rPr>
        <w:t>uture-making as an active undertaking</w:t>
      </w:r>
      <w:r w:rsidR="00FA7A78" w:rsidRPr="00FB315A">
        <w:rPr>
          <w:rFonts w:ascii="Garamond" w:hAnsi="Garamond"/>
          <w:highlight w:val="lightGray"/>
        </w:rPr>
        <w:t xml:space="preserve"> in everyday legal texts, discourses, practices</w:t>
      </w:r>
      <w:r w:rsidRPr="00FB315A">
        <w:rPr>
          <w:rFonts w:ascii="Garamond" w:hAnsi="Garamond"/>
          <w:highlight w:val="lightGray"/>
        </w:rPr>
        <w:t>.</w:t>
      </w:r>
    </w:p>
    <w:p w14:paraId="6088277B" w14:textId="58473F05" w:rsidR="004B379D" w:rsidRPr="00FB315A" w:rsidRDefault="004B379D" w:rsidP="00E72458">
      <w:pPr>
        <w:pBdr>
          <w:top w:val="single" w:sz="4" w:space="1" w:color="auto"/>
          <w:left w:val="single" w:sz="4" w:space="4" w:color="auto"/>
          <w:bottom w:val="single" w:sz="4" w:space="1" w:color="auto"/>
          <w:right w:val="single" w:sz="4" w:space="4" w:color="auto"/>
        </w:pBdr>
        <w:spacing w:line="360" w:lineRule="auto"/>
        <w:rPr>
          <w:rFonts w:ascii="Garamond" w:hAnsi="Garamond"/>
          <w:highlight w:val="lightGray"/>
        </w:rPr>
      </w:pPr>
    </w:p>
    <w:p w14:paraId="1BFD0BDC" w14:textId="55BCBFD3" w:rsidR="00BB65AF" w:rsidRPr="00A24DE7" w:rsidRDefault="00BB65AF" w:rsidP="00E72458">
      <w:pPr>
        <w:spacing w:line="360" w:lineRule="auto"/>
        <w:rPr>
          <w:rFonts w:ascii="Garamond" w:hAnsi="Garamond"/>
        </w:rPr>
      </w:pPr>
    </w:p>
    <w:p w14:paraId="4517F7BD" w14:textId="4DAED401" w:rsidR="00BB65AF" w:rsidRDefault="00C917E6" w:rsidP="00E72458">
      <w:pPr>
        <w:spacing w:line="360" w:lineRule="auto"/>
        <w:rPr>
          <w:rFonts w:ascii="Garamond" w:hAnsi="Garamond"/>
        </w:rPr>
      </w:pPr>
      <w:r>
        <w:rPr>
          <w:rFonts w:ascii="Garamond" w:hAnsi="Garamond"/>
        </w:rPr>
        <w:t>The future is not just the product of law, it is an integral part of its development</w:t>
      </w:r>
    </w:p>
    <w:p w14:paraId="470803AD" w14:textId="1981F178" w:rsidR="00E20E94" w:rsidRDefault="00E20E94" w:rsidP="00E72458">
      <w:pPr>
        <w:spacing w:line="360" w:lineRule="auto"/>
        <w:rPr>
          <w:rFonts w:ascii="Garamond" w:hAnsi="Garamond"/>
        </w:rPr>
      </w:pPr>
    </w:p>
    <w:p w14:paraId="4805966F" w14:textId="77777777" w:rsidR="00AF17AE" w:rsidRDefault="00AF17AE" w:rsidP="00AF17AE">
      <w:pPr>
        <w:spacing w:line="360" w:lineRule="auto"/>
        <w:rPr>
          <w:rFonts w:ascii="Garamond" w:hAnsi="Garamond"/>
        </w:rPr>
      </w:pPr>
      <w:r>
        <w:rPr>
          <w:rFonts w:ascii="Garamond" w:hAnsi="Garamond"/>
        </w:rPr>
        <w:t>My aim in pulling these various strands together is to encourage a move away from the definitional question ‘what or when is the future?’ and to focus instead on how the future as an orientation and affect is made effective and authoritative through apparatus of law.  The point is not to suggest that official characterisations of shale gas projects as exceptional, urgent and hopeful are necessarily a distortion of the real.  It is to show that there are also germane questions to be asked about how such characterisations institute particular relations to the future which, in turn, carry out some of the jurisdictional work of bringing shale gas projects to law, for example by classifying them as not just amendable to ministerial intervention but in need of it.</w:t>
      </w:r>
      <w:r>
        <w:rPr>
          <w:rStyle w:val="EndnoteReference"/>
          <w:rFonts w:ascii="Garamond" w:hAnsi="Garamond"/>
        </w:rPr>
        <w:endnoteReference w:id="120"/>
      </w:r>
      <w:r>
        <w:rPr>
          <w:rFonts w:ascii="Garamond" w:hAnsi="Garamond"/>
        </w:rPr>
        <w:t xml:space="preserve"> </w:t>
      </w:r>
    </w:p>
    <w:p w14:paraId="5934EF7C" w14:textId="77777777" w:rsidR="00AF17AE" w:rsidRDefault="00AF17AE" w:rsidP="00AF17AE">
      <w:pPr>
        <w:spacing w:line="360" w:lineRule="auto"/>
        <w:rPr>
          <w:rFonts w:ascii="Garamond" w:hAnsi="Garamond"/>
        </w:rPr>
      </w:pPr>
      <w:r>
        <w:rPr>
          <w:rFonts w:ascii="Garamond" w:hAnsi="Garamond"/>
        </w:rPr>
        <w:t>[INSERT on local development plan]</w:t>
      </w:r>
    </w:p>
    <w:p w14:paraId="6D507D60" w14:textId="5ED44542" w:rsidR="00AF17AE" w:rsidRDefault="00AF17AE" w:rsidP="00AF17AE">
      <w:pPr>
        <w:spacing w:line="360" w:lineRule="auto"/>
        <w:rPr>
          <w:rFonts w:ascii="Garamond" w:hAnsi="Garamond"/>
        </w:rPr>
      </w:pPr>
      <w:r>
        <w:rPr>
          <w:rFonts w:ascii="Garamond" w:hAnsi="Garamond"/>
        </w:rPr>
        <w:t>These are among the unmarked practices of future-making in planning law.</w:t>
      </w:r>
    </w:p>
    <w:p w14:paraId="29195878" w14:textId="77777777" w:rsidR="00E20E94" w:rsidRPr="00A24DE7" w:rsidRDefault="00E20E94" w:rsidP="00E72458">
      <w:pPr>
        <w:spacing w:line="360" w:lineRule="auto"/>
        <w:rPr>
          <w:rFonts w:ascii="Garamond" w:hAnsi="Garamond"/>
        </w:rPr>
      </w:pPr>
    </w:p>
    <w:sectPr w:rsidR="00E20E94" w:rsidRPr="00A24DE7">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3E57" w14:textId="77777777" w:rsidR="004E3D92" w:rsidRDefault="004E3D92" w:rsidP="00B946F2">
      <w:r>
        <w:separator/>
      </w:r>
    </w:p>
  </w:endnote>
  <w:endnote w:type="continuationSeparator" w:id="0">
    <w:p w14:paraId="15DA60ED" w14:textId="77777777" w:rsidR="004E3D92" w:rsidRDefault="004E3D92" w:rsidP="00B946F2">
      <w:r>
        <w:continuationSeparator/>
      </w:r>
    </w:p>
  </w:endnote>
  <w:endnote w:id="1">
    <w:p w14:paraId="3C1D4F41" w14:textId="28BF14DD"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Simone Abram and Gisa Weszkalnys, ‘Anthropologies of Planning – Temporality, Imagination, and Ethnography’ (2011) 61 </w:t>
      </w:r>
      <w:r w:rsidRPr="007D0D9E">
        <w:rPr>
          <w:rFonts w:ascii="Garamond" w:hAnsi="Garamond"/>
          <w:i/>
          <w:iCs/>
        </w:rPr>
        <w:t>Focaal—Journal of Global and Historical Anthropology</w:t>
      </w:r>
      <w:r w:rsidRPr="007D0D9E">
        <w:rPr>
          <w:rFonts w:ascii="Garamond" w:hAnsi="Garamond"/>
        </w:rPr>
        <w:t xml:space="preserve"> 3-18, 3.  See also e.g. Simone Abram, ‘The Time it Takes: Temporalities of Planning’ (2014) 20(S1) </w:t>
      </w:r>
      <w:r w:rsidRPr="007D0D9E">
        <w:rPr>
          <w:rFonts w:ascii="Garamond" w:hAnsi="Garamond"/>
          <w:i/>
          <w:iCs/>
        </w:rPr>
        <w:t>Journal of the Royal Anthropological Institute</w:t>
      </w:r>
      <w:r w:rsidRPr="007D0D9E">
        <w:rPr>
          <w:rFonts w:ascii="Garamond" w:hAnsi="Garamond"/>
        </w:rPr>
        <w:t xml:space="preserve"> 129-147; Amy Y. Zhang, ‘Thinking Temporally When Thinking Relationally: Temporality in Relational Place-Making’ (2018) 90 </w:t>
      </w:r>
      <w:r w:rsidRPr="007D0D9E">
        <w:rPr>
          <w:rFonts w:ascii="Garamond" w:hAnsi="Garamond"/>
          <w:i/>
          <w:iCs/>
        </w:rPr>
        <w:t>Geoforum</w:t>
      </w:r>
      <w:r w:rsidRPr="007D0D9E">
        <w:rPr>
          <w:rFonts w:ascii="Garamond" w:hAnsi="Garamond"/>
        </w:rPr>
        <w:t xml:space="preserve"> 91-99; Rebecca Windemer, ‘Considering Time in Land Use Planning: An Assessment of End-of-Life Decision Making for Commercially Managed Onshore Wind Schemes’ (2019) 87 </w:t>
      </w:r>
      <w:r w:rsidRPr="007D0D9E">
        <w:rPr>
          <w:rFonts w:ascii="Garamond" w:hAnsi="Garamond"/>
          <w:i/>
          <w:iCs/>
        </w:rPr>
        <w:t>Land Use Policy</w:t>
      </w:r>
      <w:r w:rsidRPr="007D0D9E">
        <w:rPr>
          <w:rFonts w:ascii="Garamond" w:hAnsi="Garamond"/>
        </w:rPr>
        <w:t xml:space="preserve"> 104024.</w:t>
      </w:r>
    </w:p>
  </w:endnote>
  <w:endnote w:id="2">
    <w:p w14:paraId="5C839ABD" w14:textId="02D7E3A9"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Patsy Healey, Making Better Places – The Planning Project in the … page 19</w:t>
      </w:r>
    </w:p>
  </w:endnote>
  <w:endnote w:id="3">
    <w:p w14:paraId="200DE7C7" w14:textId="77777777"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James A. Throgmorton, ‘Planning as Persuasive Storytelling About the Future: Negotiating an Electric Power Rate Settlement in Illinois’ (1992) </w:t>
      </w:r>
      <w:r w:rsidRPr="007D0D9E">
        <w:rPr>
          <w:rFonts w:ascii="Garamond" w:hAnsi="Garamond"/>
          <w:i/>
          <w:iCs/>
        </w:rPr>
        <w:t>Journal of Planning Education and Research</w:t>
      </w:r>
      <w:r w:rsidRPr="007D0D9E">
        <w:rPr>
          <w:rFonts w:ascii="Garamond" w:hAnsi="Garamond"/>
        </w:rPr>
        <w:t xml:space="preserve"> 17-31, 17.</w:t>
      </w:r>
    </w:p>
  </w:endnote>
  <w:endnote w:id="4">
    <w:p w14:paraId="51BFFC98" w14:textId="204F32BD"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INSERT</w:t>
      </w:r>
    </w:p>
  </w:endnote>
  <w:endnote w:id="5">
    <w:p w14:paraId="38BB296D" w14:textId="62CA56B8"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INSERT</w:t>
      </w:r>
    </w:p>
  </w:endnote>
  <w:endnote w:id="6">
    <w:p w14:paraId="5E2EF526" w14:textId="5451CED3"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David Byrne, ‘Complexity Theory and Planning Theory: A Necessary Encounter’ (2003) 2(3) </w:t>
      </w:r>
      <w:r w:rsidRPr="007D0D9E">
        <w:rPr>
          <w:rFonts w:ascii="Garamond" w:hAnsi="Garamond"/>
          <w:i/>
          <w:iCs/>
        </w:rPr>
        <w:t>Planning Theory</w:t>
      </w:r>
      <w:r w:rsidRPr="007D0D9E">
        <w:rPr>
          <w:rFonts w:ascii="Garamond" w:hAnsi="Garamond"/>
        </w:rPr>
        <w:t xml:space="preserve"> 171-178, 174.</w:t>
      </w:r>
    </w:p>
  </w:endnote>
  <w:endnote w:id="7">
    <w:p w14:paraId="057BD1C1" w14:textId="79B1FE3E"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The phrase, futures ‘in the making’ is borrowed from the groundbreaking book Barbara Adam and Chris Groves, </w:t>
      </w:r>
      <w:r w:rsidRPr="007D0D9E">
        <w:rPr>
          <w:rFonts w:ascii="Garamond" w:hAnsi="Garamond"/>
          <w:i/>
          <w:iCs/>
        </w:rPr>
        <w:t>Future Matters: Action, Knowledge, Ethics</w:t>
      </w:r>
      <w:r w:rsidRPr="007D0D9E">
        <w:rPr>
          <w:rFonts w:ascii="Garamond" w:hAnsi="Garamond"/>
        </w:rPr>
        <w:t xml:space="preserve"> (Brill 2007).  Other key works include Brian Massumi, </w:t>
      </w:r>
      <w:r w:rsidRPr="007D0D9E">
        <w:rPr>
          <w:rFonts w:ascii="Garamond" w:hAnsi="Garamond"/>
          <w:i/>
          <w:iCs/>
        </w:rPr>
        <w:t>Ontopower: War, Powers, and the State of Perception</w:t>
      </w:r>
      <w:r w:rsidRPr="007D0D9E">
        <w:rPr>
          <w:rFonts w:ascii="Garamond" w:hAnsi="Garamond"/>
        </w:rPr>
        <w:t xml:space="preserve"> (Duke University Press 2015); Vincanne Adams, Michelle Murphy and Adele E. Clarke, ‘Anticipation: Technoscience, Life, Affect, Temporality’ (2009) 28 </w:t>
      </w:r>
      <w:r w:rsidRPr="007D0D9E">
        <w:rPr>
          <w:rFonts w:ascii="Garamond" w:hAnsi="Garamond"/>
          <w:i/>
          <w:iCs/>
        </w:rPr>
        <w:t>Subjectivity</w:t>
      </w:r>
      <w:r w:rsidRPr="007D0D9E">
        <w:rPr>
          <w:rFonts w:ascii="Garamond" w:hAnsi="Garamond"/>
        </w:rPr>
        <w:t xml:space="preserve"> 246-265; Ben Anderson, ‘Emergency Futures: Exception, Urgency, Interval, Hope’ (2017) 65(3) </w:t>
      </w:r>
      <w:r w:rsidRPr="007D0D9E">
        <w:rPr>
          <w:rFonts w:ascii="Garamond" w:hAnsi="Garamond"/>
          <w:i/>
          <w:iCs/>
        </w:rPr>
        <w:t>The Sociological Review</w:t>
      </w:r>
      <w:r w:rsidRPr="007D0D9E">
        <w:rPr>
          <w:rFonts w:ascii="Garamond" w:hAnsi="Garamond"/>
        </w:rPr>
        <w:t xml:space="preserve"> 463-477.</w:t>
      </w:r>
    </w:p>
  </w:endnote>
  <w:endnote w:id="8">
    <w:p w14:paraId="47DB7496" w14:textId="62F75F9E"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Rebecca Coleman, ‘A Sensory Sociology of the Future: Affect, Hope and Inventive Methodologies’ (2017) 65(3) </w:t>
      </w:r>
      <w:r w:rsidRPr="007D0D9E">
        <w:rPr>
          <w:rFonts w:ascii="Garamond" w:hAnsi="Garamond"/>
          <w:i/>
          <w:iCs/>
        </w:rPr>
        <w:t>The Sociological Review</w:t>
      </w:r>
      <w:r w:rsidRPr="007D0D9E">
        <w:rPr>
          <w:rFonts w:ascii="Garamond" w:hAnsi="Garamond"/>
        </w:rPr>
        <w:t xml:space="preserve"> 525-543.</w:t>
      </w:r>
    </w:p>
  </w:endnote>
  <w:endnote w:id="9">
    <w:p w14:paraId="2B02FDDB" w14:textId="3407DFF7" w:rsidR="00965702" w:rsidRPr="007D0D9E" w:rsidRDefault="00965702" w:rsidP="00EE31B3">
      <w:pPr>
        <w:pStyle w:val="EndnoteText"/>
        <w:jc w:val="both"/>
        <w:rPr>
          <w:rFonts w:ascii="Garamond" w:hAnsi="Garamond"/>
          <w:lang w:val="en-US"/>
        </w:rPr>
      </w:pPr>
      <w:r w:rsidRPr="007D0D9E">
        <w:rPr>
          <w:rStyle w:val="EndnoteReference"/>
          <w:rFonts w:ascii="Garamond" w:hAnsi="Garamond"/>
        </w:rPr>
        <w:endnoteRef/>
      </w:r>
      <w:r w:rsidRPr="007D0D9E">
        <w:rPr>
          <w:rFonts w:ascii="Garamond" w:hAnsi="Garamond"/>
        </w:rPr>
        <w:t xml:space="preserve"> See e.g. Arjun Appadurai, </w:t>
      </w:r>
      <w:r w:rsidRPr="007D0D9E">
        <w:rPr>
          <w:rFonts w:ascii="Garamond" w:hAnsi="Garamond"/>
          <w:i/>
        </w:rPr>
        <w:t>The Future as Cultural Fact: Essays on the Global Condition</w:t>
      </w:r>
      <w:r w:rsidRPr="007D0D9E">
        <w:rPr>
          <w:rFonts w:ascii="Garamond" w:hAnsi="Garamond"/>
        </w:rPr>
        <w:t xml:space="preserve"> (Verso 2013); Peter Pels, ‘Modern Times: Seven Steps toward an Anthropology of the Future’ (2015) 56(6) </w:t>
      </w:r>
      <w:r w:rsidRPr="007D0D9E">
        <w:rPr>
          <w:rFonts w:ascii="Garamond" w:hAnsi="Garamond"/>
          <w:i/>
        </w:rPr>
        <w:t>Current Anthropology</w:t>
      </w:r>
      <w:r w:rsidRPr="007D0D9E">
        <w:rPr>
          <w:rFonts w:ascii="Garamond" w:hAnsi="Garamond"/>
        </w:rPr>
        <w:t xml:space="preserve"> 779-796; </w:t>
      </w:r>
      <w:r w:rsidRPr="007D0D9E">
        <w:rPr>
          <w:rFonts w:ascii="Garamond" w:hAnsi="Garamond"/>
          <w:lang w:val="en-US"/>
        </w:rPr>
        <w:t xml:space="preserve">Rebecca Bryant and Daniel M. Knight, </w:t>
      </w:r>
      <w:r w:rsidRPr="007D0D9E">
        <w:rPr>
          <w:rFonts w:ascii="Garamond" w:hAnsi="Garamond"/>
          <w:i/>
          <w:lang w:val="en-US"/>
        </w:rPr>
        <w:t>The Anthropology of the Future</w:t>
      </w:r>
      <w:r w:rsidRPr="007D0D9E">
        <w:rPr>
          <w:rFonts w:ascii="Garamond" w:hAnsi="Garamond"/>
          <w:lang w:val="en-US"/>
        </w:rPr>
        <w:t xml:space="preserve"> (Cambridge University Press 2019); David Valentine and Amelia Hassoun, ‘Uncommon Futures’ (2019) 48 </w:t>
      </w:r>
      <w:r w:rsidRPr="007D0D9E">
        <w:rPr>
          <w:rFonts w:ascii="Garamond" w:hAnsi="Garamond"/>
          <w:i/>
          <w:lang w:val="en-US"/>
        </w:rPr>
        <w:t>Annual Review of Anthropology</w:t>
      </w:r>
      <w:r w:rsidRPr="007D0D9E">
        <w:rPr>
          <w:rFonts w:ascii="Garamond" w:hAnsi="Garamond"/>
          <w:lang w:val="en-US"/>
        </w:rPr>
        <w:t xml:space="preserve"> 243-260.  For an early, influential call for more focused attention on the future in cultural anthropology, see Nancy D. Munn, ‘The Cultural Anthropology of Time: A Critical Essay’ (1992) 21 </w:t>
      </w:r>
      <w:r w:rsidRPr="007D0D9E">
        <w:rPr>
          <w:rFonts w:ascii="Garamond" w:hAnsi="Garamond"/>
          <w:i/>
          <w:lang w:val="en-US"/>
        </w:rPr>
        <w:t>Annual Review of Anthropology</w:t>
      </w:r>
      <w:r w:rsidRPr="007D0D9E">
        <w:rPr>
          <w:rFonts w:ascii="Garamond" w:hAnsi="Garamond"/>
          <w:lang w:val="en-US"/>
        </w:rPr>
        <w:t xml:space="preserve"> 93-123, esp. 112-116.</w:t>
      </w:r>
    </w:p>
  </w:endnote>
  <w:endnote w:id="10">
    <w:p w14:paraId="4A3DAEE5" w14:textId="075B2BF4" w:rsidR="00965702" w:rsidRPr="007D0D9E" w:rsidRDefault="00965702" w:rsidP="00EE31B3">
      <w:pPr>
        <w:pStyle w:val="EndnoteText"/>
        <w:jc w:val="both"/>
        <w:rPr>
          <w:rFonts w:ascii="Garamond" w:hAnsi="Garamond"/>
          <w:lang w:val="en-US"/>
        </w:rPr>
      </w:pPr>
      <w:r w:rsidRPr="007D0D9E">
        <w:rPr>
          <w:rStyle w:val="EndnoteReference"/>
          <w:rFonts w:ascii="Garamond" w:hAnsi="Garamond"/>
        </w:rPr>
        <w:endnoteRef/>
      </w:r>
      <w:r w:rsidRPr="007D0D9E">
        <w:rPr>
          <w:rFonts w:ascii="Garamond" w:hAnsi="Garamond"/>
        </w:rPr>
        <w:t xml:space="preserve"> See e.g. Ben Anderson, ‘Preemption, Precaution, Preparedness: Anticipatory Action and Future Geography’ (2010) 34(6) </w:t>
      </w:r>
      <w:r w:rsidRPr="007D0D9E">
        <w:rPr>
          <w:rFonts w:ascii="Garamond" w:hAnsi="Garamond"/>
          <w:i/>
        </w:rPr>
        <w:t>Progress in Human Geography</w:t>
      </w:r>
      <w:r w:rsidRPr="007D0D9E">
        <w:rPr>
          <w:rFonts w:ascii="Garamond" w:hAnsi="Garamond"/>
        </w:rPr>
        <w:t xml:space="preserve"> 777-798; Craig Jeffrey and Jane Dyson, ‘Geographies of the Future: Prefigurative Politics’ (2021) 45(4) </w:t>
      </w:r>
      <w:r w:rsidRPr="007D0D9E">
        <w:rPr>
          <w:rFonts w:ascii="Garamond" w:hAnsi="Garamond"/>
          <w:i/>
        </w:rPr>
        <w:t>Progress in Human Geography</w:t>
      </w:r>
      <w:r w:rsidRPr="007D0D9E">
        <w:rPr>
          <w:rFonts w:ascii="Garamond" w:hAnsi="Garamond"/>
        </w:rPr>
        <w:t xml:space="preserve"> 641-658.</w:t>
      </w:r>
    </w:p>
  </w:endnote>
  <w:endnote w:id="11">
    <w:p w14:paraId="4408D24A" w14:textId="1A84988A"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w:t>
      </w:r>
      <w:r w:rsidRPr="007D0D9E">
        <w:rPr>
          <w:rFonts w:ascii="Garamond" w:hAnsi="Garamond"/>
          <w:lang w:val="en-US"/>
        </w:rPr>
        <w:t xml:space="preserve">See e.g. Juliet Davis, ‘Futurescapes of Urban Regeneration: </w:t>
      </w:r>
      <w:r w:rsidRPr="007D0D9E">
        <w:rPr>
          <w:rFonts w:ascii="Garamond" w:hAnsi="Garamond"/>
        </w:rPr>
        <w:t xml:space="preserve">Ten Years of Design for the Unfolding Urban Legacy of London’s Olympic Games, 2008–2018’ (2019) 34(5) </w:t>
      </w:r>
      <w:r w:rsidRPr="007D0D9E">
        <w:rPr>
          <w:rFonts w:ascii="Garamond" w:hAnsi="Garamond"/>
          <w:i/>
        </w:rPr>
        <w:t>Planning Perspectives</w:t>
      </w:r>
      <w:r w:rsidRPr="007D0D9E">
        <w:rPr>
          <w:rFonts w:ascii="Garamond" w:hAnsi="Garamond"/>
        </w:rPr>
        <w:t xml:space="preserve"> 877-901; </w:t>
      </w:r>
    </w:p>
  </w:endnote>
  <w:endnote w:id="12">
    <w:p w14:paraId="20DEF3BF" w14:textId="471C0C1C"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Alex </w:t>
      </w:r>
      <w:r w:rsidRPr="007D0D9E">
        <w:rPr>
          <w:rFonts w:ascii="Garamond" w:hAnsi="Garamond"/>
        </w:rPr>
        <w:t xml:space="preserve">Wilkie, Martin Savransky and Marsha Rosengarten (eds), </w:t>
      </w:r>
      <w:r w:rsidRPr="007D0D9E">
        <w:rPr>
          <w:rFonts w:ascii="Garamond" w:hAnsi="Garamond"/>
          <w:i/>
          <w:iCs/>
        </w:rPr>
        <w:t>Speculative Research: The Lure of Possible Futures</w:t>
      </w:r>
      <w:r w:rsidRPr="007D0D9E">
        <w:rPr>
          <w:rFonts w:ascii="Garamond" w:hAnsi="Garamond"/>
        </w:rPr>
        <w:t xml:space="preserve"> (Routledge 2019).</w:t>
      </w:r>
    </w:p>
  </w:endnote>
  <w:endnote w:id="13">
    <w:p w14:paraId="77CAF708" w14:textId="2104004C"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Sheila Jasanoff and Sang-Hyun Kim (eds) </w:t>
      </w:r>
      <w:r w:rsidRPr="007D0D9E">
        <w:rPr>
          <w:rFonts w:ascii="Garamond" w:hAnsi="Garamond"/>
          <w:i/>
          <w:iCs/>
        </w:rPr>
        <w:t>Dreamscapes of Modernity: Sociotechnical Imaginaries and the Fabrication of Power</w:t>
      </w:r>
      <w:r w:rsidRPr="007D0D9E">
        <w:rPr>
          <w:rFonts w:ascii="Garamond" w:hAnsi="Garamond"/>
        </w:rPr>
        <w:t xml:space="preserve"> (University of Chicago Press 2015).</w:t>
      </w:r>
    </w:p>
  </w:endnote>
  <w:endnote w:id="14">
    <w:p w14:paraId="28B55A7C" w14:textId="3812F198"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Notably, </w:t>
      </w:r>
      <w:r w:rsidRPr="007D0D9E">
        <w:rPr>
          <w:rFonts w:ascii="Garamond" w:hAnsi="Garamond"/>
        </w:rPr>
        <w:t xml:space="preserve">Renisa Mawani, ‘Law as Temporality: Colonial Politics and Indian Settlers’ (2014) 4(1) </w:t>
      </w:r>
      <w:r w:rsidRPr="007D0D9E">
        <w:rPr>
          <w:rFonts w:ascii="Garamond" w:hAnsi="Garamond"/>
          <w:i/>
          <w:iCs/>
        </w:rPr>
        <w:t xml:space="preserve">UC Irvine Law Review </w:t>
      </w:r>
      <w:r w:rsidRPr="007D0D9E">
        <w:rPr>
          <w:rFonts w:ascii="Garamond" w:hAnsi="Garamond"/>
        </w:rPr>
        <w:t xml:space="preserve">65-95; Nomi Claire Lazar, ‘Constitutional Preambles and the Uncertain Future’ in Luigi Corrias and Lyana Francot (eds) </w:t>
      </w:r>
      <w:r w:rsidRPr="007D0D9E">
        <w:rPr>
          <w:rFonts w:ascii="Garamond" w:hAnsi="Garamond"/>
          <w:i/>
          <w:iCs/>
        </w:rPr>
        <w:t>Temporal Boundaries of Law and Politics: Time Out of Joint</w:t>
      </w:r>
      <w:r w:rsidRPr="007D0D9E">
        <w:rPr>
          <w:rFonts w:ascii="Garamond" w:hAnsi="Garamond"/>
        </w:rPr>
        <w:t xml:space="preserve"> (Routledge 2018) chapter 7; Irene van Oorschot, </w:t>
      </w:r>
      <w:r w:rsidRPr="007D0D9E">
        <w:rPr>
          <w:rFonts w:ascii="Garamond" w:hAnsi="Garamond"/>
          <w:i/>
          <w:iCs/>
        </w:rPr>
        <w:t>The Law Multiple: Judgment and Knowledge in Practice</w:t>
      </w:r>
      <w:r w:rsidRPr="007D0D9E">
        <w:rPr>
          <w:rFonts w:ascii="Garamond" w:hAnsi="Garamond"/>
        </w:rPr>
        <w:t xml:space="preserve"> (Cambridge University Press 2020) chapter 6.</w:t>
      </w:r>
    </w:p>
  </w:endnote>
  <w:endnote w:id="15">
    <w:p w14:paraId="44211067" w14:textId="3A5C905F"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Vincanne Adams, Michelle Murphy and Adele E. Clarke, ‘Anticipation: Technoscience, Life, Affect, Temporality’ (2009) 28 </w:t>
      </w:r>
      <w:r w:rsidRPr="007D0D9E">
        <w:rPr>
          <w:rFonts w:ascii="Garamond" w:hAnsi="Garamond"/>
          <w:i/>
          <w:iCs/>
        </w:rPr>
        <w:t>Subjectivity</w:t>
      </w:r>
      <w:r w:rsidRPr="007D0D9E">
        <w:rPr>
          <w:rFonts w:ascii="Garamond" w:hAnsi="Garamond"/>
        </w:rPr>
        <w:t xml:space="preserve"> 246-265, 248.</w:t>
      </w:r>
    </w:p>
  </w:endnote>
  <w:endnote w:id="16">
    <w:p w14:paraId="5ED04244" w14:textId="48D77B54"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Richard A. Posner, ‘Past-Dependency, Pragmatism, and Critique of History in Adjudication and Legal Scholarship’ (2000) 67(3) </w:t>
      </w:r>
      <w:r w:rsidRPr="007D0D9E">
        <w:rPr>
          <w:rFonts w:ascii="Garamond" w:hAnsi="Garamond"/>
          <w:i/>
          <w:iCs/>
        </w:rPr>
        <w:t>University of Chicago Law Review</w:t>
      </w:r>
      <w:r w:rsidRPr="007D0D9E">
        <w:rPr>
          <w:rFonts w:ascii="Garamond" w:hAnsi="Garamond"/>
        </w:rPr>
        <w:t xml:space="preserve"> 573-606, 573.</w:t>
      </w:r>
    </w:p>
  </w:endnote>
  <w:endnote w:id="17">
    <w:p w14:paraId="62416DD4" w14:textId="4490B1ED"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Carol J. Greenhouse, ‘Just in Time: Temporality and the Cultural Legitimation of Law’ (1989) 98(8) </w:t>
      </w:r>
      <w:r w:rsidRPr="007D0D9E">
        <w:rPr>
          <w:rFonts w:ascii="Garamond" w:hAnsi="Garamond"/>
          <w:i/>
          <w:iCs/>
        </w:rPr>
        <w:t>Yale Law Journal</w:t>
      </w:r>
      <w:r w:rsidRPr="007D0D9E">
        <w:rPr>
          <w:rFonts w:ascii="Garamond" w:hAnsi="Garamond"/>
        </w:rPr>
        <w:t xml:space="preserve"> 1631-1651, 1640.</w:t>
      </w:r>
    </w:p>
  </w:endnote>
  <w:endnote w:id="18">
    <w:p w14:paraId="7A9ECE5C" w14:textId="756D8ED5"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On the descriptive inaccuracies of the ‘law lag’, for example, see Sheila Jasanoff, ‘Making Order: Law and Science in Action’ in Edward J. Hackett et al (eds) </w:t>
      </w:r>
      <w:r w:rsidRPr="007D0D9E">
        <w:rPr>
          <w:rFonts w:ascii="Garamond" w:hAnsi="Garamond"/>
          <w:i/>
          <w:iCs/>
        </w:rPr>
        <w:t>Handbook of Science and Technology Studies</w:t>
      </w:r>
      <w:r w:rsidRPr="007D0D9E">
        <w:rPr>
          <w:rFonts w:ascii="Garamond" w:hAnsi="Garamond"/>
        </w:rPr>
        <w:t xml:space="preserve"> (MIT Press, 3</w:t>
      </w:r>
      <w:r w:rsidRPr="007D0D9E">
        <w:rPr>
          <w:rFonts w:ascii="Garamond" w:hAnsi="Garamond"/>
          <w:vertAlign w:val="superscript"/>
        </w:rPr>
        <w:t>rd</w:t>
      </w:r>
      <w:r w:rsidRPr="007D0D9E">
        <w:rPr>
          <w:rFonts w:ascii="Garamond" w:hAnsi="Garamond"/>
        </w:rPr>
        <w:t xml:space="preserve"> </w:t>
      </w:r>
      <w:r w:rsidRPr="007D0D9E">
        <w:rPr>
          <w:rFonts w:ascii="Garamond" w:hAnsi="Garamond"/>
        </w:rPr>
        <w:t xml:space="preserve">edn 2007) chapter 26. </w:t>
      </w:r>
    </w:p>
  </w:endnote>
  <w:endnote w:id="19">
    <w:p w14:paraId="5D0D4505" w14:textId="4C2A4B49"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For critique, see Andrew J. Wistrich, ‘The Evolving Temporality of </w:t>
      </w:r>
      <w:r w:rsidRPr="007D0D9E">
        <w:rPr>
          <w:rFonts w:ascii="Garamond" w:hAnsi="Garamond"/>
        </w:rPr>
        <w:t xml:space="preserve">Lawmaking’ (2012) 44(3) </w:t>
      </w:r>
      <w:r w:rsidRPr="007D0D9E">
        <w:rPr>
          <w:rFonts w:ascii="Garamond" w:hAnsi="Garamond"/>
          <w:i/>
          <w:iCs/>
        </w:rPr>
        <w:t xml:space="preserve">Connecticut Law Review </w:t>
      </w:r>
      <w:r w:rsidRPr="007D0D9E">
        <w:rPr>
          <w:rFonts w:ascii="Garamond" w:hAnsi="Garamond"/>
        </w:rPr>
        <w:t>737-826.</w:t>
      </w:r>
    </w:p>
  </w:endnote>
  <w:endnote w:id="20">
    <w:p w14:paraId="74BD2F90" w14:textId="77831AB4"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Nancy Munn</w:t>
      </w:r>
    </w:p>
  </w:endnote>
  <w:endnote w:id="21">
    <w:p w14:paraId="2A7AA36F" w14:textId="2FF4200D" w:rsidR="00965702" w:rsidRPr="007D0D9E" w:rsidRDefault="00965702" w:rsidP="00186937">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Standout examples include Carol J. Greenhouse, ‘Just in Time: Temporality and the Cultural Legitimation of Law’ (1989) 98(8) </w:t>
      </w:r>
      <w:r w:rsidRPr="007D0D9E">
        <w:rPr>
          <w:rFonts w:ascii="Garamond" w:hAnsi="Garamond"/>
          <w:i/>
          <w:iCs/>
        </w:rPr>
        <w:t>Yale Law Journal</w:t>
      </w:r>
      <w:r w:rsidRPr="007D0D9E">
        <w:rPr>
          <w:rFonts w:ascii="Garamond" w:hAnsi="Garamond"/>
        </w:rPr>
        <w:t xml:space="preserve"> 1631-1651; </w:t>
      </w:r>
      <w:r w:rsidRPr="007D0D9E">
        <w:rPr>
          <w:rFonts w:ascii="Garamond" w:hAnsi="Garamond"/>
        </w:rPr>
        <w:t xml:space="preserve">Renisa Mawani, ‘Law as Temporality: Colonial Politics and Indian Settlers’ (2014) 4 </w:t>
      </w:r>
      <w:r w:rsidRPr="007D0D9E">
        <w:rPr>
          <w:rFonts w:ascii="Garamond" w:hAnsi="Garamond"/>
          <w:i/>
          <w:iCs/>
        </w:rPr>
        <w:t>UC Irvine Law Review</w:t>
      </w:r>
      <w:r w:rsidRPr="007D0D9E">
        <w:rPr>
          <w:rFonts w:ascii="Garamond" w:hAnsi="Garamond"/>
        </w:rPr>
        <w:t xml:space="preserve"> 65-95; Mariana Valverde, </w:t>
      </w:r>
      <w:r w:rsidRPr="007D0D9E">
        <w:rPr>
          <w:rFonts w:ascii="Garamond" w:hAnsi="Garamond"/>
          <w:i/>
          <w:iCs/>
        </w:rPr>
        <w:t>Chronotopes of Law: Jurisdiction, Scale and Governance</w:t>
      </w:r>
      <w:r w:rsidRPr="007D0D9E">
        <w:rPr>
          <w:rFonts w:ascii="Garamond" w:hAnsi="Garamond"/>
        </w:rPr>
        <w:t xml:space="preserve"> (Routledge 2015); Emily Grabham, </w:t>
      </w:r>
      <w:r w:rsidRPr="007D0D9E">
        <w:rPr>
          <w:rFonts w:ascii="Garamond" w:hAnsi="Garamond"/>
          <w:i/>
          <w:iCs/>
        </w:rPr>
        <w:t>Brewing Legal Times: Things, Forms, and the Enactments of Law</w:t>
      </w:r>
      <w:r w:rsidRPr="007D0D9E">
        <w:rPr>
          <w:rFonts w:ascii="Garamond" w:hAnsi="Garamond"/>
        </w:rPr>
        <w:t xml:space="preserve"> (University of Toronto Press 2016); Fleur Johns, ‘The Temporal Rivalries of Human Rights’ (2016) 23(1) </w:t>
      </w:r>
      <w:r w:rsidRPr="007D0D9E">
        <w:rPr>
          <w:rFonts w:ascii="Garamond" w:hAnsi="Garamond"/>
          <w:i/>
          <w:iCs/>
        </w:rPr>
        <w:t>Indiana Journal of Global Legal Studies</w:t>
      </w:r>
      <w:r w:rsidRPr="007D0D9E">
        <w:rPr>
          <w:rFonts w:ascii="Garamond" w:hAnsi="Garamond"/>
        </w:rPr>
        <w:t xml:space="preserve"> 39-60; Luigi Corrias and Lyana Francot (eds) </w:t>
      </w:r>
      <w:r w:rsidRPr="007D0D9E">
        <w:rPr>
          <w:rFonts w:ascii="Garamond" w:hAnsi="Garamond"/>
          <w:i/>
          <w:iCs/>
        </w:rPr>
        <w:t>Temporal Boundaries of Law and Politics: Time Out of Joint</w:t>
      </w:r>
      <w:r w:rsidRPr="007D0D9E">
        <w:rPr>
          <w:rFonts w:ascii="Garamond" w:hAnsi="Garamond"/>
        </w:rPr>
        <w:t xml:space="preserve"> (Routledge 2018); Siân Beynon-Jones and Emily Grabham (eds), </w:t>
      </w:r>
      <w:r w:rsidRPr="007D0D9E">
        <w:rPr>
          <w:rFonts w:ascii="Garamond" w:hAnsi="Garamond"/>
          <w:i/>
          <w:iCs/>
        </w:rPr>
        <w:t>Law and Time</w:t>
      </w:r>
      <w:r w:rsidRPr="007D0D9E">
        <w:rPr>
          <w:rFonts w:ascii="Garamond" w:hAnsi="Garamond"/>
        </w:rPr>
        <w:t xml:space="preserve"> (Routledge 2019); Chris Hilson, ‘Framing Time in Climate Change Litigation’ (2019) 9(3) </w:t>
      </w:r>
      <w:r w:rsidRPr="007D0D9E">
        <w:rPr>
          <w:rFonts w:ascii="Garamond" w:hAnsi="Garamond"/>
          <w:i/>
          <w:iCs/>
        </w:rPr>
        <w:t>Onati Socio-Legal Series</w:t>
      </w:r>
      <w:r w:rsidRPr="007D0D9E">
        <w:rPr>
          <w:rFonts w:ascii="Garamond" w:hAnsi="Garamond"/>
        </w:rPr>
        <w:t xml:space="preserve"> 361-379; Sarah Keenan, ‘From Historical Chains to Derivative Futures: Title Registries as Time Machines’ (2019) 20(3) </w:t>
      </w:r>
      <w:r w:rsidRPr="007D0D9E">
        <w:rPr>
          <w:rFonts w:ascii="Garamond" w:hAnsi="Garamond"/>
          <w:i/>
          <w:iCs/>
        </w:rPr>
        <w:t>Social and Cultural Geography</w:t>
      </w:r>
      <w:r w:rsidRPr="007D0D9E">
        <w:rPr>
          <w:rFonts w:ascii="Garamond" w:hAnsi="Garamond"/>
        </w:rPr>
        <w:t xml:space="preserve"> 283-303; Tanzil Chowdhury, </w:t>
      </w:r>
      <w:r w:rsidRPr="007D0D9E">
        <w:rPr>
          <w:rFonts w:ascii="Garamond" w:hAnsi="Garamond"/>
          <w:i/>
          <w:iCs/>
        </w:rPr>
        <w:t>Time, Temporality and Legal Judgment</w:t>
      </w:r>
      <w:r w:rsidRPr="007D0D9E">
        <w:rPr>
          <w:rFonts w:ascii="Garamond" w:hAnsi="Garamond"/>
        </w:rPr>
        <w:t xml:space="preserve"> (Routledge 2020).  This list is by no means exhaustive but it gives a flavour of the rich writing on the topic.</w:t>
      </w:r>
    </w:p>
  </w:endnote>
  <w:endnote w:id="22">
    <w:p w14:paraId="34A5FB4F" w14:textId="1437EB08"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See especially Mariana Valverde, Chronotopes, CITE.</w:t>
      </w:r>
    </w:p>
  </w:endnote>
  <w:endnote w:id="23">
    <w:p w14:paraId="37553728" w14:textId="67FD45EC"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INSERT Khan</w:t>
      </w:r>
    </w:p>
  </w:endnote>
  <w:endnote w:id="24">
    <w:p w14:paraId="35C4953D" w14:textId="29A03F41"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See esp. </w:t>
      </w:r>
      <w:r w:rsidRPr="007D0D9E">
        <w:rPr>
          <w:rFonts w:ascii="Garamond" w:hAnsi="Garamond"/>
        </w:rPr>
        <w:t>Mawani; Valverde</w:t>
      </w:r>
    </w:p>
  </w:endnote>
  <w:endnote w:id="25">
    <w:p w14:paraId="038A66E0" w14:textId="77777777" w:rsidR="00965702" w:rsidRPr="007D0D9E" w:rsidRDefault="00965702" w:rsidP="00C67E43">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Emily Grabham, ‘Governing Permanence: Trans Subjects, Time, and the Gender Recognition Act’ (2010) 19(1) Social and Legal Studies 107-126.</w:t>
      </w:r>
    </w:p>
  </w:endnote>
  <w:endnote w:id="26">
    <w:p w14:paraId="464A0D66" w14:textId="3502D102"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Annelise Riles, INSERT</w:t>
      </w:r>
    </w:p>
  </w:endnote>
  <w:endnote w:id="27">
    <w:p w14:paraId="15AC98BB" w14:textId="6100FD12" w:rsidR="00965702" w:rsidRPr="007D0D9E" w:rsidRDefault="00965702" w:rsidP="009C6343">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w:t>
      </w:r>
      <w:r w:rsidRPr="007D0D9E">
        <w:rPr>
          <w:rFonts w:ascii="Garamond" w:hAnsi="Garamond"/>
        </w:rPr>
        <w:t>Renisa Mawani, ‘Law as Temporality: Colonial Politics and Indian Settlers’ INSERT CITE.</w:t>
      </w:r>
    </w:p>
  </w:endnote>
  <w:endnote w:id="28">
    <w:p w14:paraId="4666D7B1" w14:textId="77777777" w:rsidR="00965702" w:rsidRPr="007D0D9E" w:rsidRDefault="00965702" w:rsidP="00F130AB">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Sarah Keenan, ‘From Historical Chains to Derivative Futures: Title Registries as Time Machines’; Sarah Keenan, (2016). Smoke, curtains and mirrors: The production of </w:t>
      </w:r>
    </w:p>
    <w:p w14:paraId="726D894C" w14:textId="77777777" w:rsidR="00965702" w:rsidRPr="007D0D9E" w:rsidRDefault="00965702" w:rsidP="00F130AB">
      <w:pPr>
        <w:pStyle w:val="EndnoteText"/>
        <w:rPr>
          <w:rFonts w:ascii="Garamond" w:hAnsi="Garamond"/>
        </w:rPr>
      </w:pPr>
      <w:r w:rsidRPr="007D0D9E">
        <w:rPr>
          <w:rFonts w:ascii="Garamond" w:hAnsi="Garamond"/>
        </w:rPr>
        <w:t xml:space="preserve">race through time and title </w:t>
      </w:r>
    </w:p>
    <w:p w14:paraId="538C42F7" w14:textId="6F392D4E" w:rsidR="00965702" w:rsidRPr="007D0D9E" w:rsidRDefault="00965702" w:rsidP="00F130AB">
      <w:pPr>
        <w:pStyle w:val="EndnoteText"/>
        <w:rPr>
          <w:rFonts w:ascii="Garamond" w:hAnsi="Garamond"/>
        </w:rPr>
      </w:pPr>
      <w:r w:rsidRPr="007D0D9E">
        <w:rPr>
          <w:rFonts w:ascii="Garamond" w:hAnsi="Garamond"/>
        </w:rPr>
        <w:t>registration. Law and Critique, 28(1), 87–108.</w:t>
      </w:r>
    </w:p>
  </w:endnote>
  <w:endnote w:id="29">
    <w:p w14:paraId="4B0199DA" w14:textId="77777777" w:rsidR="00965702" w:rsidRPr="007D0D9E" w:rsidRDefault="00965702" w:rsidP="00754A11">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Christos </w:t>
      </w:r>
      <w:r w:rsidRPr="007D0D9E">
        <w:rPr>
          <w:rFonts w:ascii="Garamond" w:hAnsi="Garamond"/>
        </w:rPr>
        <w:t>Boukalas, ‘No Future: Pre-emption, Temporal Sovereignty and Hegemonic Implosion’ (2021) 28(2) Constellations 252-268.</w:t>
      </w:r>
    </w:p>
  </w:endnote>
  <w:endnote w:id="30">
    <w:p w14:paraId="4E64DE8D" w14:textId="55CCA823"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Nancy D. Munn, ‘The Cultural Anthropology of Time: A Critical Essay’ (1992) 21 </w:t>
      </w:r>
      <w:r w:rsidRPr="007D0D9E">
        <w:rPr>
          <w:rFonts w:ascii="Garamond" w:hAnsi="Garamond"/>
          <w:i/>
          <w:iCs/>
        </w:rPr>
        <w:t>Annual Review of Anthropology</w:t>
      </w:r>
      <w:r w:rsidRPr="007D0D9E">
        <w:rPr>
          <w:rFonts w:ascii="Garamond" w:hAnsi="Garamond"/>
        </w:rPr>
        <w:t xml:space="preserve"> 93-123, 116.</w:t>
      </w:r>
    </w:p>
  </w:endnote>
  <w:endnote w:id="31">
    <w:p w14:paraId="03E9172E" w14:textId="59782721"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Koselleck</w:t>
      </w:r>
    </w:p>
  </w:endnote>
  <w:endnote w:id="32">
    <w:p w14:paraId="086E44C4" w14:textId="77777777" w:rsidR="00965702" w:rsidRPr="007D0D9E" w:rsidRDefault="00965702" w:rsidP="00325977">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Husserl</w:t>
      </w:r>
    </w:p>
  </w:endnote>
  <w:endnote w:id="33">
    <w:p w14:paraId="7699230C" w14:textId="35F7B318"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Heidegger CITE.</w:t>
      </w:r>
    </w:p>
  </w:endnote>
  <w:endnote w:id="34">
    <w:p w14:paraId="1299C07E" w14:textId="6451B5C4"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Dipesh Chakrabarty, </w:t>
      </w:r>
      <w:r w:rsidRPr="007D0D9E">
        <w:rPr>
          <w:rFonts w:ascii="Garamond" w:hAnsi="Garamond"/>
          <w:i/>
          <w:iCs/>
        </w:rPr>
        <w:t>Provincializing Europe: Postcolonial Thought and Historical Difference</w:t>
      </w:r>
      <w:r w:rsidRPr="007D0D9E">
        <w:rPr>
          <w:rFonts w:ascii="Garamond" w:hAnsi="Garamond"/>
        </w:rPr>
        <w:t xml:space="preserve"> (Princeton University Press 2000) 250.</w:t>
      </w:r>
    </w:p>
  </w:endnote>
  <w:endnote w:id="35">
    <w:p w14:paraId="537504FC" w14:textId="00A27B35"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Munn</w:t>
      </w:r>
    </w:p>
  </w:endnote>
  <w:endnote w:id="36">
    <w:p w14:paraId="7B592103" w14:textId="277F50BE"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Doreen Massey – phrase borrowed from Massey</w:t>
      </w:r>
    </w:p>
  </w:endnote>
  <w:endnote w:id="37">
    <w:p w14:paraId="291037E1" w14:textId="4912C8B1"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Barbara Adam, </w:t>
      </w:r>
      <w:r w:rsidRPr="007D0D9E">
        <w:rPr>
          <w:rFonts w:ascii="Garamond" w:hAnsi="Garamond"/>
          <w:i/>
          <w:iCs/>
        </w:rPr>
        <w:t>Timewatch: The Social Analysis of Time</w:t>
      </w:r>
      <w:r w:rsidRPr="007D0D9E">
        <w:rPr>
          <w:rFonts w:ascii="Garamond" w:hAnsi="Garamond"/>
        </w:rPr>
        <w:t xml:space="preserve"> (Polity Press 1995) Ch 1 CITE PAGE.</w:t>
      </w:r>
    </w:p>
  </w:endnote>
  <w:endnote w:id="38">
    <w:p w14:paraId="27F69C43" w14:textId="61E9B0B3"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Barbara Adam, Timescapes of Modernity</w:t>
      </w:r>
    </w:p>
  </w:endnote>
  <w:endnote w:id="39">
    <w:p w14:paraId="13AA60E7" w14:textId="393DFAEE"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INSERT Barbara Adam</w:t>
      </w:r>
    </w:p>
  </w:endnote>
  <w:endnote w:id="40">
    <w:p w14:paraId="07C1558A" w14:textId="6D02A1A7"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See also Doreen Massey, For Space; Mariana Valverde, Chronotopes.</w:t>
      </w:r>
    </w:p>
  </w:endnote>
  <w:endnote w:id="41">
    <w:p w14:paraId="58A1B299" w14:textId="1A51083C"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Barbara Adam Timescapes of Modernity 54.</w:t>
      </w:r>
    </w:p>
  </w:endnote>
  <w:endnote w:id="42">
    <w:p w14:paraId="7E4974A8" w14:textId="6A5DE6A1"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Barbara Adam, Futurescapes</w:t>
      </w:r>
    </w:p>
  </w:endnote>
  <w:endnote w:id="43">
    <w:p w14:paraId="6F1E1D3D" w14:textId="2E63020D"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Cite.</w:t>
      </w:r>
    </w:p>
  </w:endnote>
  <w:endnote w:id="44">
    <w:p w14:paraId="23E96FB0" w14:textId="2284C1AE"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Ben Anderson and others, ‘Slow Emergencies: Temporality and the Racialized Biopolitics of Emergency Governance’ (2020) 44(4) Progress in Human Geography 621-639, 631.</w:t>
      </w:r>
    </w:p>
  </w:endnote>
  <w:endnote w:id="45">
    <w:p w14:paraId="7582B93F" w14:textId="0DF30411"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For inspiration in a different context, see Julie McLeod, ‘Marking Time, Making Methods: Temporality and Untimely Dilemmas in the Sociology of Youth and Educational Change’ (2017) 38(1) </w:t>
      </w:r>
      <w:r w:rsidRPr="007D0D9E">
        <w:rPr>
          <w:rFonts w:ascii="Garamond" w:hAnsi="Garamond"/>
          <w:i/>
          <w:iCs/>
        </w:rPr>
        <w:t>British Journal of Sociology of Education</w:t>
      </w:r>
      <w:r w:rsidRPr="007D0D9E">
        <w:rPr>
          <w:rFonts w:ascii="Garamond" w:hAnsi="Garamond"/>
        </w:rPr>
        <w:t xml:space="preserve"> 13-25, 13.</w:t>
      </w:r>
    </w:p>
  </w:endnote>
  <w:endnote w:id="46">
    <w:p w14:paraId="793BEC11" w14:textId="6DAA2434"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See e.g. Violina P. </w:t>
      </w:r>
      <w:r w:rsidRPr="007D0D9E">
        <w:rPr>
          <w:rFonts w:ascii="Garamond" w:hAnsi="Garamond"/>
        </w:rPr>
        <w:t xml:space="preserve">Rindova and Luis L. Martins, ‘Futurescapes: Imagination and Temporal Reorganization in the Design of Strategic Narratives’ (2021) </w:t>
      </w:r>
      <w:r w:rsidRPr="007D0D9E">
        <w:rPr>
          <w:rFonts w:ascii="Garamond" w:hAnsi="Garamond"/>
          <w:i/>
          <w:iCs/>
        </w:rPr>
        <w:t>Strategic Organization</w:t>
      </w:r>
      <w:r w:rsidRPr="007D0D9E">
        <w:rPr>
          <w:rFonts w:ascii="Garamond" w:hAnsi="Garamond"/>
        </w:rPr>
        <w:t xml:space="preserve"> 1-25.</w:t>
      </w:r>
    </w:p>
  </w:endnote>
  <w:endnote w:id="47">
    <w:p w14:paraId="1C404ABA" w14:textId="171A753A"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See, however, Grabham; Valverde.</w:t>
      </w:r>
    </w:p>
  </w:endnote>
  <w:endnote w:id="48">
    <w:p w14:paraId="10A65591" w14:textId="77777777" w:rsidR="00965702" w:rsidRPr="007D0D9E" w:rsidRDefault="00965702" w:rsidP="00F27BAD">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See e.g. Simone Abram, ‘The Time it Takes: Temporalities of Planning’ (2014) 20(S1) </w:t>
      </w:r>
      <w:r w:rsidRPr="007D0D9E">
        <w:rPr>
          <w:rFonts w:ascii="Garamond" w:hAnsi="Garamond"/>
          <w:i/>
          <w:iCs/>
        </w:rPr>
        <w:t>Journal of the Royal Anthropological Institute</w:t>
      </w:r>
      <w:r w:rsidRPr="007D0D9E">
        <w:rPr>
          <w:rFonts w:ascii="Garamond" w:hAnsi="Garamond"/>
        </w:rPr>
        <w:t xml:space="preserve"> 129-147; Amy Y. Zhang, ‘Thinking Temporally When Thinking Relationally: Temporality in Relational Place-Making’ (2018) 90 </w:t>
      </w:r>
      <w:r w:rsidRPr="007D0D9E">
        <w:rPr>
          <w:rFonts w:ascii="Garamond" w:hAnsi="Garamond"/>
          <w:i/>
          <w:iCs/>
        </w:rPr>
        <w:t>Geoforum</w:t>
      </w:r>
      <w:r w:rsidRPr="007D0D9E">
        <w:rPr>
          <w:rFonts w:ascii="Garamond" w:hAnsi="Garamond"/>
        </w:rPr>
        <w:t xml:space="preserve"> 91-99; Rebecca Windemer, ‘Considering Time in Land Use Planning: An Assessment of End-of-Life Decision Making for Commercially Managed Onshore Wind Schemes’ (2019) 87 </w:t>
      </w:r>
      <w:r w:rsidRPr="007D0D9E">
        <w:rPr>
          <w:rFonts w:ascii="Garamond" w:hAnsi="Garamond"/>
          <w:i/>
          <w:iCs/>
        </w:rPr>
        <w:t>Land Use Policy</w:t>
      </w:r>
      <w:r w:rsidRPr="007D0D9E">
        <w:rPr>
          <w:rFonts w:ascii="Garamond" w:hAnsi="Garamond"/>
        </w:rPr>
        <w:t xml:space="preserve"> 104024.</w:t>
      </w:r>
    </w:p>
  </w:endnote>
  <w:endnote w:id="49">
    <w:p w14:paraId="060B8B9C" w14:textId="77777777" w:rsidR="00965702" w:rsidRPr="007D0D9E" w:rsidRDefault="00965702" w:rsidP="00E02326">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Patrick McAuslan, The Ideologies of Planning Law (Pergamon Press 1980), 1. </w:t>
      </w:r>
    </w:p>
  </w:endnote>
  <w:endnote w:id="50">
    <w:p w14:paraId="54C59C44" w14:textId="77777777" w:rsidR="00965702" w:rsidRPr="007D0D9E" w:rsidRDefault="00965702" w:rsidP="004264C2">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Annelise Riles, ‘A New Agenda for the Cultural Study of Law: Taking on the Technicalities’ (2005) 53(3) </w:t>
      </w:r>
      <w:r w:rsidRPr="007D0D9E">
        <w:rPr>
          <w:rFonts w:ascii="Garamond" w:hAnsi="Garamond"/>
          <w:i/>
          <w:iCs/>
        </w:rPr>
        <w:t>Buffalo Law Review</w:t>
      </w:r>
      <w:r w:rsidRPr="007D0D9E">
        <w:rPr>
          <w:rFonts w:ascii="Garamond" w:hAnsi="Garamond"/>
        </w:rPr>
        <w:t xml:space="preserve"> 973-1033.</w:t>
      </w:r>
    </w:p>
  </w:endnote>
  <w:endnote w:id="51">
    <w:p w14:paraId="71127C43" w14:textId="56924896"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See also Mariana Valverde, on technicalities</w:t>
      </w:r>
    </w:p>
  </w:endnote>
  <w:endnote w:id="52">
    <w:p w14:paraId="6054744F" w14:textId="2F1FC403"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Kathryn B. </w:t>
      </w:r>
      <w:r w:rsidRPr="007D0D9E">
        <w:rPr>
          <w:rFonts w:ascii="Garamond" w:hAnsi="Garamond"/>
        </w:rPr>
        <w:t>Janda and Marina Topouzi ‘Telling Tales: Using Stories to Remake Energy Policy’ (2015) 43(4) Building Research and Information 516-533.</w:t>
      </w:r>
    </w:p>
  </w:endnote>
  <w:endnote w:id="53">
    <w:p w14:paraId="06A75934" w14:textId="629F512A"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INSERT Gov policy.</w:t>
      </w:r>
    </w:p>
  </w:endnote>
  <w:endnote w:id="54">
    <w:p w14:paraId="7B81AF77" w14:textId="08ECF15D"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INSERT</w:t>
      </w:r>
    </w:p>
  </w:endnote>
  <w:endnote w:id="55">
    <w:p w14:paraId="1AD3BB51" w14:textId="77777777" w:rsidR="00965702" w:rsidRPr="007D0D9E" w:rsidRDefault="00965702" w:rsidP="00CB1165">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INSERT</w:t>
      </w:r>
    </w:p>
  </w:endnote>
  <w:endnote w:id="56">
    <w:p w14:paraId="539EDF4C" w14:textId="3E6B9161"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INSERT</w:t>
      </w:r>
    </w:p>
  </w:endnote>
  <w:endnote w:id="57">
    <w:p w14:paraId="344F9DF3" w14:textId="77777777" w:rsidR="00965702" w:rsidRPr="007D0D9E" w:rsidRDefault="00965702" w:rsidP="00245801">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Anna </w:t>
      </w:r>
      <w:r w:rsidRPr="007D0D9E">
        <w:rPr>
          <w:rFonts w:ascii="Garamond" w:hAnsi="Garamond"/>
        </w:rPr>
        <w:t>Szolucha, ‘Anticipating Frackng: Shale Gas Developments and the Politics of Time in Lancashire, UK’ (2018) 5(3) The Extractive Industries and Society 348-355.</w:t>
      </w:r>
    </w:p>
  </w:endnote>
  <w:endnote w:id="58">
    <w:p w14:paraId="3F1F3722" w14:textId="77777777" w:rsidR="00965702" w:rsidRPr="007D0D9E" w:rsidRDefault="00965702" w:rsidP="00CA7EC8">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For excellent critique, see Chris Hilson, ‘Framing Fracking: Which Frames Are Heard in English Planning and Environmental Policy and Practice?’ (2015) 27(2) </w:t>
      </w:r>
      <w:r w:rsidRPr="007D0D9E">
        <w:rPr>
          <w:rFonts w:ascii="Garamond" w:hAnsi="Garamond"/>
          <w:i/>
          <w:iCs/>
        </w:rPr>
        <w:t xml:space="preserve">Journal of Environmental Law </w:t>
      </w:r>
      <w:r w:rsidRPr="007D0D9E">
        <w:rPr>
          <w:rFonts w:ascii="Garamond" w:hAnsi="Garamond"/>
        </w:rPr>
        <w:t>177-202.</w:t>
      </w:r>
    </w:p>
  </w:endnote>
  <w:endnote w:id="59">
    <w:p w14:paraId="72D7C2D0" w14:textId="7384FCBC"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Valverde</w:t>
      </w:r>
    </w:p>
  </w:endnote>
  <w:endnote w:id="60">
    <w:p w14:paraId="532F2BEC" w14:textId="77777777" w:rsidR="00E035E7" w:rsidRPr="007D0D9E" w:rsidRDefault="00E035E7" w:rsidP="00E035E7">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Town and Country Act INSERT</w:t>
      </w:r>
    </w:p>
  </w:endnote>
  <w:endnote w:id="61">
    <w:p w14:paraId="68DD7AE5" w14:textId="77777777" w:rsidR="008E434A" w:rsidRPr="007D0D9E" w:rsidRDefault="008E434A" w:rsidP="008E434A">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Planning and Compulsory Purchase Act 2004 section 38(6); see also Town and Country Planning Act 1990 section 70(2).m</w:t>
      </w:r>
    </w:p>
  </w:endnote>
  <w:endnote w:id="62">
    <w:p w14:paraId="5D367A27" w14:textId="28574F3D"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Planning and Compulsory Purchase Act 2004 section 19(1B)-(1C)</w:t>
      </w:r>
    </w:p>
  </w:endnote>
  <w:endnote w:id="63">
    <w:p w14:paraId="458A821B" w14:textId="517381F1"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NFFP para 20.</w:t>
      </w:r>
    </w:p>
  </w:endnote>
  <w:endnote w:id="64">
    <w:p w14:paraId="4AE1DE81" w14:textId="05024915"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INSERT NPPF 2012 para 14 CHECK specifically.  Check 2018.</w:t>
      </w:r>
    </w:p>
  </w:endnote>
  <w:endnote w:id="65">
    <w:p w14:paraId="3771F249" w14:textId="2E6D6066"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NFFP para 11(d).</w:t>
      </w:r>
    </w:p>
  </w:endnote>
  <w:endnote w:id="66">
    <w:p w14:paraId="7C0DDF2F" w14:textId="07F7BD56"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NPPF para 11; NPPF 2012 para 14.</w:t>
      </w:r>
    </w:p>
  </w:endnote>
  <w:endnote w:id="67">
    <w:p w14:paraId="254F23D2" w14:textId="62BB18B9"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Cite cases</w:t>
      </w:r>
    </w:p>
  </w:endnote>
  <w:endnote w:id="68">
    <w:p w14:paraId="3772B07A" w14:textId="77777777" w:rsidR="00965702" w:rsidRPr="007D0D9E" w:rsidRDefault="00965702" w:rsidP="00E64A39">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Paul Newman New Homes [2021] EWCA </w:t>
      </w:r>
      <w:r w:rsidRPr="007D0D9E">
        <w:rPr>
          <w:rFonts w:ascii="Garamond" w:hAnsi="Garamond"/>
        </w:rPr>
        <w:t>Civ 15, Andrews LJ paras 37-40; CITE OTHER CASES HERE TOO</w:t>
      </w:r>
    </w:p>
  </w:endnote>
  <w:endnote w:id="69">
    <w:p w14:paraId="5D4D4B35" w14:textId="77777777" w:rsidR="00965702" w:rsidRPr="007D0D9E" w:rsidRDefault="00965702" w:rsidP="005B403F">
      <w:pPr>
        <w:rPr>
          <w:rFonts w:ascii="Garamond" w:eastAsia="Times New Roman" w:hAnsi="Garamond" w:cs="Times New Roman"/>
          <w:sz w:val="20"/>
          <w:szCs w:val="20"/>
          <w:lang w:eastAsia="en-GB"/>
        </w:rPr>
      </w:pPr>
      <w:r w:rsidRPr="007D0D9E">
        <w:rPr>
          <w:rStyle w:val="EndnoteReference"/>
          <w:rFonts w:ascii="Garamond" w:hAnsi="Garamond"/>
          <w:sz w:val="20"/>
          <w:szCs w:val="20"/>
        </w:rPr>
        <w:endnoteRef/>
      </w:r>
      <w:r w:rsidRPr="007D0D9E">
        <w:rPr>
          <w:rFonts w:ascii="Garamond" w:hAnsi="Garamond"/>
          <w:sz w:val="20"/>
          <w:szCs w:val="20"/>
        </w:rPr>
        <w:t xml:space="preserve"> Cite Preston Road recovered appeal here; </w:t>
      </w:r>
    </w:p>
  </w:endnote>
  <w:endnote w:id="70">
    <w:p w14:paraId="318D4939" w14:textId="65AABC1A" w:rsidR="00965702" w:rsidRPr="007D0D9E" w:rsidRDefault="00965702">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w:t>
      </w:r>
      <w:r w:rsidRPr="007D0D9E">
        <w:rPr>
          <w:rFonts w:ascii="Garamond" w:hAnsi="Garamond"/>
          <w:i/>
          <w:iCs/>
        </w:rPr>
        <w:t>Peel Investments (North) Ltd v Secretary of State for Housing, Communities &amp; Local Government</w:t>
      </w:r>
      <w:r w:rsidRPr="007D0D9E">
        <w:rPr>
          <w:rFonts w:ascii="Garamond" w:hAnsi="Garamond"/>
        </w:rPr>
        <w:t xml:space="preserve"> [2021] 2 All ER 581, paragraph 68, Baker LJ.</w:t>
      </w:r>
    </w:p>
  </w:endnote>
  <w:endnote w:id="71">
    <w:p w14:paraId="54ED5538" w14:textId="2A15DAE8" w:rsidR="00211974" w:rsidRPr="007D0D9E" w:rsidRDefault="00211974">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Cite Valverde</w:t>
      </w:r>
      <w:r w:rsidR="00F24EFD" w:rsidRPr="007D0D9E">
        <w:rPr>
          <w:rFonts w:ascii="Garamond" w:hAnsi="Garamond"/>
        </w:rPr>
        <w:t xml:space="preserve">, </w:t>
      </w:r>
      <w:r w:rsidRPr="007D0D9E">
        <w:rPr>
          <w:rFonts w:ascii="Garamond" w:hAnsi="Garamond"/>
        </w:rPr>
        <w:t>Jasanoff</w:t>
      </w:r>
      <w:r w:rsidR="00F24EFD" w:rsidRPr="007D0D9E">
        <w:rPr>
          <w:rFonts w:ascii="Garamond" w:hAnsi="Garamond"/>
        </w:rPr>
        <w:t>, Marie Andree Jacob</w:t>
      </w:r>
      <w:r w:rsidRPr="007D0D9E">
        <w:rPr>
          <w:rFonts w:ascii="Garamond" w:hAnsi="Garamond"/>
        </w:rPr>
        <w:t xml:space="preserve"> here.</w:t>
      </w:r>
    </w:p>
  </w:endnote>
  <w:endnote w:id="72">
    <w:p w14:paraId="58740AC9" w14:textId="28D56895" w:rsidR="004A2EBE" w:rsidRPr="007D0D9E" w:rsidRDefault="004A2EBE">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Cite Marston et al 2005</w:t>
      </w:r>
    </w:p>
  </w:endnote>
  <w:endnote w:id="73">
    <w:p w14:paraId="6B5744FF" w14:textId="77777777" w:rsidR="000E45F6" w:rsidRPr="007D0D9E" w:rsidRDefault="000E45F6" w:rsidP="000E45F6">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Adam Moore, ‘Rethinking Scale as a Geographical Category: From Analysis to Practice’ (2008) 32(2) </w:t>
      </w:r>
      <w:r w:rsidRPr="007D0D9E">
        <w:rPr>
          <w:rFonts w:ascii="Garamond" w:hAnsi="Garamond"/>
          <w:i/>
          <w:iCs/>
        </w:rPr>
        <w:t>Progress in Human Geography</w:t>
      </w:r>
      <w:r w:rsidRPr="007D0D9E">
        <w:rPr>
          <w:rFonts w:ascii="Garamond" w:hAnsi="Garamond"/>
        </w:rPr>
        <w:t xml:space="preserve"> 203-225.</w:t>
      </w:r>
    </w:p>
  </w:endnote>
  <w:endnote w:id="74">
    <w:p w14:paraId="2E4883F7" w14:textId="137FB220" w:rsidR="004B6138" w:rsidRPr="007D0D9E" w:rsidRDefault="004B6138">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Holding the Future Together: Towards a Theorisation of the Spaces and Times of Transition</w:t>
      </w:r>
    </w:p>
  </w:endnote>
  <w:endnote w:id="75">
    <w:p w14:paraId="0C7896F0" w14:textId="459C52D7" w:rsidR="009B4D55" w:rsidRPr="007D0D9E" w:rsidRDefault="009B4D55">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Juliet Davies, 878.</w:t>
      </w:r>
    </w:p>
  </w:endnote>
  <w:endnote w:id="76">
    <w:p w14:paraId="5F58239D" w14:textId="4DD00A7F"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Planning and Compulsory Purchase Act 2004, section 27.</w:t>
      </w:r>
    </w:p>
  </w:endnote>
  <w:endnote w:id="77">
    <w:p w14:paraId="68FD95A7" w14:textId="4290C1A1"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Style w:val="EndnoteReference"/>
          <w:rFonts w:ascii="Garamond" w:hAnsi="Garamond"/>
        </w:rPr>
        <w:endnoteRef/>
      </w:r>
      <w:r w:rsidRPr="007D0D9E">
        <w:rPr>
          <w:rFonts w:ascii="Garamond" w:hAnsi="Garamond"/>
        </w:rPr>
        <w:t xml:space="preserve"> Town and Country Planning (Development Management Procedure) (England) (Order) 2015, section 31(1).</w:t>
      </w:r>
    </w:p>
  </w:endnote>
  <w:endnote w:id="78">
    <w:p w14:paraId="56338300" w14:textId="159947CB"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Planning Act 2008, section 35.</w:t>
      </w:r>
    </w:p>
  </w:endnote>
  <w:endnote w:id="79">
    <w:p w14:paraId="655D8314" w14:textId="77777777"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Planning Act 2008, section 41.</w:t>
      </w:r>
    </w:p>
  </w:endnote>
  <w:endnote w:id="80">
    <w:p w14:paraId="123B52FF" w14:textId="0A1BC8F7"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INSERT examples.  Also cite here Planning Bill clause 34.</w:t>
      </w:r>
    </w:p>
  </w:endnote>
  <w:endnote w:id="81">
    <w:p w14:paraId="4A1F7D7E" w14:textId="77777777"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See e.g. Minister of Town and Country Planning Act 1943, section 1.</w:t>
      </w:r>
    </w:p>
  </w:endnote>
  <w:endnote w:id="82">
    <w:p w14:paraId="5115DF6E" w14:textId="5F4DFC81"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INSERT.</w:t>
      </w:r>
    </w:p>
  </w:endnote>
  <w:endnote w:id="83">
    <w:p w14:paraId="31BB2C9E" w14:textId="774B1546"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Victor Moore, </w:t>
      </w:r>
      <w:r w:rsidRPr="007D0D9E">
        <w:rPr>
          <w:rFonts w:ascii="Garamond" w:hAnsi="Garamond"/>
          <w:i/>
          <w:iCs/>
        </w:rPr>
        <w:t>A Practical Approach to Planning Law</w:t>
      </w:r>
      <w:r w:rsidRPr="007D0D9E">
        <w:rPr>
          <w:rFonts w:ascii="Garamond" w:hAnsi="Garamond"/>
        </w:rPr>
        <w:t xml:space="preserve"> (Blackstone 6</w:t>
      </w:r>
      <w:r w:rsidRPr="007D0D9E">
        <w:rPr>
          <w:rFonts w:ascii="Garamond" w:hAnsi="Garamond"/>
          <w:vertAlign w:val="superscript"/>
        </w:rPr>
        <w:t>th</w:t>
      </w:r>
      <w:r w:rsidRPr="007D0D9E">
        <w:rPr>
          <w:rFonts w:ascii="Garamond" w:hAnsi="Garamond"/>
        </w:rPr>
        <w:t xml:space="preserve"> </w:t>
      </w:r>
      <w:r w:rsidRPr="007D0D9E">
        <w:rPr>
          <w:rFonts w:ascii="Garamond" w:hAnsi="Garamond"/>
        </w:rPr>
        <w:t xml:space="preserve">edn 1997) 10; Mark Tewdar-Jones, ‘Discretion, Flexibility and Certainty in British Planning: Emerging Ideological Conflicts and Inherent Political Tensions’ (1999) 18 </w:t>
      </w:r>
      <w:r w:rsidRPr="007D0D9E">
        <w:rPr>
          <w:rFonts w:ascii="Garamond" w:hAnsi="Garamond"/>
          <w:i/>
          <w:iCs/>
        </w:rPr>
        <w:t>Journal of Planning Education and Research</w:t>
      </w:r>
      <w:r w:rsidRPr="007D0D9E">
        <w:rPr>
          <w:rFonts w:ascii="Garamond" w:hAnsi="Garamond"/>
        </w:rPr>
        <w:t xml:space="preserve"> 244-256, 244.</w:t>
      </w:r>
    </w:p>
  </w:endnote>
  <w:endnote w:id="84">
    <w:p w14:paraId="16232AFD" w14:textId="77777777" w:rsidR="007A2802" w:rsidRPr="007D0D9E" w:rsidRDefault="007A2802" w:rsidP="007A2802">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Town and Country Planning Act 1990, section 77.</w:t>
      </w:r>
    </w:p>
  </w:endnote>
  <w:endnote w:id="85">
    <w:p w14:paraId="5E34F809" w14:textId="77777777" w:rsidR="007A2802" w:rsidRPr="007D0D9E" w:rsidRDefault="007A2802" w:rsidP="007A2802">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Town and Country Planning Act 1990, section 79.</w:t>
      </w:r>
    </w:p>
  </w:endnote>
  <w:endnote w:id="86">
    <w:p w14:paraId="1C249B65" w14:textId="20305707"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INSERT statistics.</w:t>
      </w:r>
    </w:p>
  </w:endnote>
  <w:endnote w:id="87">
    <w:p w14:paraId="7264AA2B" w14:textId="04BDE0A0"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INSERT statistics.</w:t>
      </w:r>
    </w:p>
  </w:endnote>
  <w:endnote w:id="88">
    <w:p w14:paraId="4C3699D6" w14:textId="41D99B2D"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CIE.</w:t>
      </w:r>
    </w:p>
  </w:endnote>
  <w:endnote w:id="89">
    <w:p w14:paraId="57E12711" w14:textId="23564200"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CITE.</w:t>
      </w:r>
    </w:p>
  </w:endnote>
  <w:endnote w:id="90">
    <w:p w14:paraId="6834A240" w14:textId="279E1BB4"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CITE.</w:t>
      </w:r>
    </w:p>
  </w:endnote>
  <w:endnote w:id="91">
    <w:p w14:paraId="25D44CDE" w14:textId="12CF8CE4"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proportion of permissions granted following </w:t>
      </w:r>
      <w:r w:rsidRPr="007D0D9E">
        <w:rPr>
          <w:rFonts w:ascii="Garamond" w:hAnsi="Garamond"/>
        </w:rPr>
        <w:t>SoS intervention has dropped significantly under James Brokenshire – CITE.</w:t>
      </w:r>
    </w:p>
  </w:endnote>
  <w:endnote w:id="92">
    <w:p w14:paraId="0ED3A790" w14:textId="0AB01A43"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Department for Communities and Local Government, Plain English Guide to the Planning System (DCLG 2015) 4.</w:t>
      </w:r>
    </w:p>
  </w:endnote>
  <w:endnote w:id="93">
    <w:p w14:paraId="10D760F7" w14:textId="31E0D122"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See e.g. CITE. Barker Review.</w:t>
      </w:r>
    </w:p>
  </w:endnote>
  <w:endnote w:id="94">
    <w:p w14:paraId="03458E2F" w14:textId="3EEA55E4"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Kate Barker, </w:t>
      </w:r>
      <w:r w:rsidRPr="007D0D9E">
        <w:rPr>
          <w:rFonts w:ascii="Garamond" w:hAnsi="Garamond"/>
          <w:i/>
          <w:iCs/>
        </w:rPr>
        <w:t>Barker Review of Land Use Planning. Final Report – Recommendations</w:t>
      </w:r>
      <w:r w:rsidRPr="007D0D9E">
        <w:rPr>
          <w:rFonts w:ascii="Garamond" w:hAnsi="Garamond"/>
        </w:rPr>
        <w:t xml:space="preserve"> (HMSO 2006) paras 3.41, 3.55; INSERT CITE.</w:t>
      </w:r>
    </w:p>
  </w:endnote>
  <w:endnote w:id="95">
    <w:p w14:paraId="3ECD096E" w14:textId="7F4D2680"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James Ferguson and Akhil Gupta, ‘Spatializing States: Toward an Ethnography of Neoliberal Governmentality’ (2002) 29(4) </w:t>
      </w:r>
      <w:r w:rsidRPr="007D0D9E">
        <w:rPr>
          <w:rFonts w:ascii="Garamond" w:hAnsi="Garamond"/>
          <w:i/>
          <w:iCs/>
        </w:rPr>
        <w:t>American Ethnologist</w:t>
      </w:r>
      <w:r w:rsidRPr="007D0D9E">
        <w:rPr>
          <w:rFonts w:ascii="Garamond" w:hAnsi="Garamond"/>
        </w:rPr>
        <w:t xml:space="preserve"> 981-1002, 983.</w:t>
      </w:r>
    </w:p>
  </w:endnote>
  <w:endnote w:id="96">
    <w:p w14:paraId="676A4865" w14:textId="63BF49E8"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Examples include INSERT.  Adam Moore, ‘Rethinking Scale as a Geographical Category: From Analysis to Practice’ (2008) 32(2) </w:t>
      </w:r>
      <w:r w:rsidRPr="007D0D9E">
        <w:rPr>
          <w:rFonts w:ascii="Garamond" w:hAnsi="Garamond"/>
          <w:i/>
          <w:iCs/>
        </w:rPr>
        <w:t>Progress in Human Geography</w:t>
      </w:r>
      <w:r w:rsidRPr="007D0D9E">
        <w:rPr>
          <w:rFonts w:ascii="Garamond" w:hAnsi="Garamond"/>
        </w:rPr>
        <w:t xml:space="preserve"> 203-225.</w:t>
      </w:r>
    </w:p>
  </w:endnote>
  <w:endnote w:id="97">
    <w:p w14:paraId="48BBEA61" w14:textId="6C5AEA6A"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Jeffrey S. Khan, ‘Geographies of Discretion and the Jurisdictional Imagination’ (2017) 40(1) </w:t>
      </w:r>
      <w:r w:rsidRPr="007D0D9E">
        <w:rPr>
          <w:rFonts w:ascii="Garamond" w:hAnsi="Garamond"/>
          <w:i/>
          <w:iCs/>
        </w:rPr>
        <w:t>Political and Legal Anthropology</w:t>
      </w:r>
      <w:r w:rsidRPr="007D0D9E">
        <w:rPr>
          <w:rFonts w:ascii="Garamond" w:hAnsi="Garamond"/>
        </w:rPr>
        <w:t xml:space="preserve"> 5-27, 6.</w:t>
      </w:r>
    </w:p>
  </w:endnote>
  <w:endnote w:id="98">
    <w:p w14:paraId="05F850C7" w14:textId="272C8DF6"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For further detail, see especially Asha Kaushal, ‘The Politics of Jurisdiction’ (2015) 78(5) </w:t>
      </w:r>
      <w:r w:rsidRPr="007D0D9E">
        <w:rPr>
          <w:rFonts w:ascii="Garamond" w:hAnsi="Garamond"/>
          <w:i/>
          <w:iCs/>
        </w:rPr>
        <w:t>Modern Law Review</w:t>
      </w:r>
      <w:r w:rsidRPr="007D0D9E">
        <w:rPr>
          <w:rFonts w:ascii="Garamond" w:hAnsi="Garamond"/>
        </w:rPr>
        <w:t xml:space="preserve"> 759-792.  </w:t>
      </w:r>
    </w:p>
  </w:endnote>
  <w:endnote w:id="99">
    <w:p w14:paraId="6411C9AE" w14:textId="62A0A040"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HC Deb 16 September 2015 vol 599 c32WS. </w:t>
      </w:r>
    </w:p>
  </w:endnote>
  <w:endnote w:id="100">
    <w:p w14:paraId="002EA334" w14:textId="646B1AB9"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CITE.</w:t>
      </w:r>
    </w:p>
  </w:endnote>
  <w:endnote w:id="101">
    <w:p w14:paraId="21C9D033" w14:textId="783DD48D"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In fact, the Secretary of State in recovering an appeal on shale gas exploration has justified the recovery of jurisdiction on the basis of the ‘more than local significance’ criterion, not the criterion specific to shale gas.  CITE.</w:t>
      </w:r>
    </w:p>
  </w:endnote>
  <w:endnote w:id="102">
    <w:p w14:paraId="4ADC86C4" w14:textId="714F11D2"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See e.g. Nasser Hussain, </w:t>
      </w:r>
      <w:r w:rsidRPr="007D0D9E">
        <w:rPr>
          <w:rFonts w:ascii="Garamond" w:hAnsi="Garamond"/>
          <w:i/>
          <w:iCs/>
        </w:rPr>
        <w:t>The Jurisprudence of Emergency: Colonialism and the Rule of Law</w:t>
      </w:r>
      <w:r w:rsidRPr="007D0D9E">
        <w:rPr>
          <w:rFonts w:ascii="Garamond" w:hAnsi="Garamond"/>
        </w:rPr>
        <w:t xml:space="preserve"> (University of Michigan Press 2003); Claudia Aradau and </w:t>
      </w:r>
      <w:r w:rsidRPr="007D0D9E">
        <w:rPr>
          <w:rFonts w:ascii="Garamond" w:hAnsi="Garamond"/>
        </w:rPr>
        <w:t xml:space="preserve">Rens van Munster, </w:t>
      </w:r>
      <w:r w:rsidRPr="007D0D9E">
        <w:rPr>
          <w:rFonts w:ascii="Garamond" w:hAnsi="Garamond"/>
          <w:i/>
          <w:iCs/>
        </w:rPr>
        <w:t>Politics of Catastrophe: Genealogies of the Unknown</w:t>
      </w:r>
      <w:r w:rsidRPr="007D0D9E">
        <w:rPr>
          <w:rFonts w:ascii="Garamond" w:hAnsi="Garamond"/>
        </w:rPr>
        <w:t xml:space="preserve"> (Routledge 2011); Brian Massumi, </w:t>
      </w:r>
      <w:r w:rsidRPr="007D0D9E">
        <w:rPr>
          <w:rFonts w:ascii="Garamond" w:hAnsi="Garamond"/>
          <w:i/>
          <w:iCs/>
        </w:rPr>
        <w:t>Ontopower: War, Powers, and the State of Perception</w:t>
      </w:r>
      <w:r w:rsidRPr="007D0D9E">
        <w:rPr>
          <w:rFonts w:ascii="Garamond" w:hAnsi="Garamond"/>
        </w:rPr>
        <w:t xml:space="preserve"> (Duke University Press 2015); Peter Adey, Ben Anderson and Stephen Graham, ‘Governing Emergencies: Beyond Exceptionality’ (2015) 32(2) </w:t>
      </w:r>
      <w:r w:rsidRPr="007D0D9E">
        <w:rPr>
          <w:rFonts w:ascii="Garamond" w:hAnsi="Garamond"/>
          <w:i/>
          <w:iCs/>
        </w:rPr>
        <w:t>Theory, Culture and Society</w:t>
      </w:r>
      <w:r w:rsidRPr="007D0D9E">
        <w:rPr>
          <w:rFonts w:ascii="Garamond" w:hAnsi="Garamond"/>
        </w:rPr>
        <w:t xml:space="preserve"> 3-17; Ben Anderson, ‘Emergency Futures: Exception, Urgency, Interval, Hope’ (2017) 65(3) </w:t>
      </w:r>
      <w:r w:rsidRPr="007D0D9E">
        <w:rPr>
          <w:rFonts w:ascii="Garamond" w:hAnsi="Garamond"/>
          <w:i/>
          <w:iCs/>
        </w:rPr>
        <w:t>The Sociological Review</w:t>
      </w:r>
      <w:r w:rsidRPr="007D0D9E">
        <w:rPr>
          <w:rFonts w:ascii="Garamond" w:hAnsi="Garamond"/>
        </w:rPr>
        <w:t xml:space="preserve"> 463-477.</w:t>
      </w:r>
    </w:p>
  </w:endnote>
  <w:endnote w:id="103">
    <w:p w14:paraId="35847EAD" w14:textId="5DF65F69"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Derek McCormack, ‘Governing Inflation: Price and Atmospheres of Emergency’ (2015) </w:t>
      </w:r>
      <w:r w:rsidRPr="007D0D9E">
        <w:rPr>
          <w:rFonts w:ascii="Garamond" w:hAnsi="Garamond"/>
          <w:i/>
          <w:iCs/>
        </w:rPr>
        <w:t xml:space="preserve">Theory, Culture and Society </w:t>
      </w:r>
      <w:r w:rsidRPr="007D0D9E">
        <w:rPr>
          <w:rFonts w:ascii="Garamond" w:hAnsi="Garamond"/>
        </w:rPr>
        <w:t>1-24.</w:t>
      </w:r>
    </w:p>
  </w:endnote>
  <w:endnote w:id="104">
    <w:p w14:paraId="687085FC" w14:textId="3159D010"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CITE Anderson and others.</w:t>
      </w:r>
    </w:p>
  </w:endnote>
  <w:endnote w:id="105">
    <w:p w14:paraId="182AB830" w14:textId="7E531C9E"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Ben Anderson, ‘Emergency Futures: Exception, Urgency, Interval and Hope’ (2017) 65(3) </w:t>
      </w:r>
      <w:r w:rsidRPr="007D0D9E">
        <w:rPr>
          <w:rFonts w:ascii="Garamond" w:hAnsi="Garamond"/>
          <w:i/>
          <w:iCs/>
        </w:rPr>
        <w:t>The Sociological Review</w:t>
      </w:r>
      <w:r w:rsidRPr="007D0D9E">
        <w:rPr>
          <w:rFonts w:ascii="Garamond" w:hAnsi="Garamond"/>
        </w:rPr>
        <w:t xml:space="preserve"> 463-477, 470.</w:t>
      </w:r>
    </w:p>
  </w:endnote>
  <w:endnote w:id="106">
    <w:p w14:paraId="3D9E69BD" w14:textId="073656ED"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Brian Massumi, CITE.</w:t>
      </w:r>
    </w:p>
  </w:endnote>
  <w:endnote w:id="107">
    <w:p w14:paraId="5A9CA497" w14:textId="3158467F" w:rsidR="006821FB" w:rsidRPr="007D0D9E" w:rsidRDefault="006821FB">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w:t>
      </w:r>
      <w:r w:rsidR="00F869A3" w:rsidRPr="007D0D9E">
        <w:rPr>
          <w:rFonts w:ascii="Garamond" w:hAnsi="Garamond"/>
        </w:rPr>
        <w:t xml:space="preserve">Anderson, </w:t>
      </w:r>
      <w:r w:rsidRPr="007D0D9E">
        <w:rPr>
          <w:rFonts w:ascii="Garamond" w:hAnsi="Garamond"/>
        </w:rPr>
        <w:t>470-471.</w:t>
      </w:r>
    </w:p>
  </w:endnote>
  <w:endnote w:id="108">
    <w:p w14:paraId="62087C45" w14:textId="1F596630"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CITE.</w:t>
      </w:r>
    </w:p>
  </w:endnote>
  <w:endnote w:id="109">
    <w:p w14:paraId="5A985CF8" w14:textId="00BE9D37"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Gisa Weszkalnys, ‘Anticipating Oil: The Temporal Politics of a Disaster Yet to Come’ (2014) 62(1) </w:t>
      </w:r>
      <w:r w:rsidRPr="007D0D9E">
        <w:rPr>
          <w:rFonts w:ascii="Garamond" w:hAnsi="Garamond"/>
          <w:i/>
          <w:iCs/>
        </w:rPr>
        <w:t>The Sociological Review</w:t>
      </w:r>
      <w:r w:rsidRPr="007D0D9E">
        <w:rPr>
          <w:rFonts w:ascii="Garamond" w:hAnsi="Garamond"/>
        </w:rPr>
        <w:t xml:space="preserve"> 211-235.</w:t>
      </w:r>
    </w:p>
  </w:endnote>
  <w:endnote w:id="110">
    <w:p w14:paraId="438C8A6D" w14:textId="05EA9671"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CITE Roseacre.</w:t>
      </w:r>
    </w:p>
  </w:endnote>
  <w:endnote w:id="111">
    <w:p w14:paraId="56C4BC8E" w14:textId="14B5652F"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Elen Stokes, ‘Regulatory Domain and Regulatory Dexterity: Critiquing the UK Governance of “Fracking”’ (2016) 79(6) Modern Law Review 961-986.</w:t>
      </w:r>
    </w:p>
  </w:endnote>
  <w:endnote w:id="112">
    <w:p w14:paraId="2068911A" w14:textId="19B22E29" w:rsidR="00965702" w:rsidRPr="007D0D9E" w:rsidRDefault="00965702" w:rsidP="00EE31B3">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Vincanne Adams</w:t>
      </w:r>
    </w:p>
  </w:endnote>
  <w:endnote w:id="113">
    <w:p w14:paraId="1A2D4039" w14:textId="77777777" w:rsidR="005968D5" w:rsidRPr="007D0D9E" w:rsidRDefault="005968D5" w:rsidP="005968D5">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Adi Ophir, ‘The Politics of Catastrophization: Emergency and Exception’, in Didier </w:t>
      </w:r>
      <w:r w:rsidRPr="007D0D9E">
        <w:rPr>
          <w:rFonts w:ascii="Garamond" w:hAnsi="Garamond"/>
        </w:rPr>
        <w:t xml:space="preserve">Fassin and Mariella Pandolfi (eds) </w:t>
      </w:r>
      <w:r w:rsidRPr="007D0D9E">
        <w:rPr>
          <w:rFonts w:ascii="Garamond" w:hAnsi="Garamond"/>
          <w:i/>
          <w:iCs/>
        </w:rPr>
        <w:t>Contemporary States of Emergency: The Politics of Military and Humanitarian Interventions</w:t>
      </w:r>
      <w:r w:rsidRPr="007D0D9E">
        <w:rPr>
          <w:rFonts w:ascii="Garamond" w:hAnsi="Garamond"/>
        </w:rPr>
        <w:t xml:space="preserve"> (Zone Books 2010) chapter INSERT.</w:t>
      </w:r>
    </w:p>
  </w:endnote>
  <w:endnote w:id="114">
    <w:p w14:paraId="7F81BE7D" w14:textId="4D83BF4E" w:rsidR="00B45DA5" w:rsidRPr="007D0D9E" w:rsidRDefault="00B45DA5">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Antonio Y. </w:t>
      </w:r>
      <w:r w:rsidRPr="007D0D9E">
        <w:rPr>
          <w:rFonts w:ascii="Garamond" w:hAnsi="Garamond"/>
        </w:rPr>
        <w:t>Vázquez-Arroyo, ‘How Not the Learn From Catestrophe: Habermas, Critical Theory and the “Catasrophization’”of Political Life’ (2013) 41(5) Political Theory 738-765, 742.</w:t>
      </w:r>
    </w:p>
  </w:endnote>
  <w:endnote w:id="115">
    <w:p w14:paraId="7FD1699A" w14:textId="77777777" w:rsidR="00B45DA5" w:rsidRPr="007D0D9E" w:rsidRDefault="00B45DA5" w:rsidP="00B45DA5">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HC Deb 16 September 2015 vol 599 c32WS.  CHECK COLUMN NUMBER.</w:t>
      </w:r>
    </w:p>
  </w:endnote>
  <w:endnote w:id="116">
    <w:p w14:paraId="7E47EB66" w14:textId="77777777" w:rsidR="002B6E44" w:rsidRPr="007D0D9E" w:rsidRDefault="002B6E44" w:rsidP="002B6E44">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Jasanoff, Sociotechnical Imaginaries CITE.</w:t>
      </w:r>
    </w:p>
  </w:endnote>
  <w:endnote w:id="117">
    <w:p w14:paraId="1C7A273D" w14:textId="7A474280" w:rsidR="003D2930" w:rsidRPr="003D2930" w:rsidRDefault="003D2930">
      <w:pPr>
        <w:pStyle w:val="EndnoteText"/>
        <w:rPr>
          <w:rFonts w:ascii="Garamond" w:hAnsi="Garamond"/>
        </w:rPr>
      </w:pPr>
      <w:r w:rsidRPr="003D2930">
        <w:rPr>
          <w:rStyle w:val="EndnoteReference"/>
          <w:rFonts w:ascii="Garamond" w:hAnsi="Garamond"/>
        </w:rPr>
        <w:endnoteRef/>
      </w:r>
      <w:r w:rsidRPr="003D2930">
        <w:rPr>
          <w:rFonts w:ascii="Garamond" w:hAnsi="Garamond"/>
        </w:rPr>
        <w:t xml:space="preserve"> CITE.</w:t>
      </w:r>
    </w:p>
  </w:endnote>
  <w:endnote w:id="118">
    <w:p w14:paraId="37074D22" w14:textId="77777777" w:rsidR="00F903E5" w:rsidRPr="007D0D9E" w:rsidRDefault="00F903E5" w:rsidP="00F903E5">
      <w:pPr>
        <w:pStyle w:val="EndnoteText"/>
        <w:jc w:val="both"/>
        <w:rPr>
          <w:rFonts w:ascii="Garamond" w:hAnsi="Garamond"/>
        </w:rPr>
      </w:pPr>
      <w:r w:rsidRPr="007D0D9E">
        <w:rPr>
          <w:rStyle w:val="EndnoteReference"/>
          <w:rFonts w:ascii="Garamond" w:hAnsi="Garamond"/>
        </w:rPr>
        <w:endnoteRef/>
      </w:r>
      <w:r w:rsidRPr="007D0D9E">
        <w:rPr>
          <w:rFonts w:ascii="Garamond" w:hAnsi="Garamond"/>
        </w:rPr>
        <w:t xml:space="preserve"> Mariana Valverde, ‘Jurisdiction and Scale: Legal “Technicalities” as Resources for Theory’ (2009) 18(2) </w:t>
      </w:r>
      <w:r w:rsidRPr="007D0D9E">
        <w:rPr>
          <w:rFonts w:ascii="Garamond" w:hAnsi="Garamond"/>
          <w:i/>
          <w:iCs/>
        </w:rPr>
        <w:t>Social and Legal Studies</w:t>
      </w:r>
      <w:r w:rsidRPr="007D0D9E">
        <w:rPr>
          <w:rFonts w:ascii="Garamond" w:hAnsi="Garamond"/>
        </w:rPr>
        <w:t xml:space="preserve"> 139-157; Mariana Valverde, ‘Games of Jurisdiction: How Local Governance Realities Challenge the “Creatures of Province” Doctrine’ (2021) 34 </w:t>
      </w:r>
      <w:r w:rsidRPr="007D0D9E">
        <w:rPr>
          <w:rFonts w:ascii="Garamond" w:hAnsi="Garamond"/>
          <w:i/>
          <w:iCs/>
        </w:rPr>
        <w:t>Journal of Law and Social Policy</w:t>
      </w:r>
      <w:r w:rsidRPr="007D0D9E">
        <w:rPr>
          <w:rFonts w:ascii="Garamond" w:hAnsi="Garamond"/>
        </w:rPr>
        <w:t xml:space="preserve"> 21-38.  See also Nicholas Blomley, ‘What Sort of a Legal Space is a City?’ in Andrea Mubi </w:t>
      </w:r>
      <w:r w:rsidRPr="007D0D9E">
        <w:rPr>
          <w:rFonts w:ascii="Garamond" w:hAnsi="Garamond"/>
        </w:rPr>
        <w:t xml:space="preserve">Brighenti (ed)  </w:t>
      </w:r>
      <w:r w:rsidRPr="007D0D9E">
        <w:rPr>
          <w:rFonts w:ascii="Garamond" w:hAnsi="Garamond"/>
          <w:i/>
          <w:iCs/>
        </w:rPr>
        <w:t>Urban Interstices: The Aesthetics and the Politics of the In-between</w:t>
      </w:r>
      <w:r w:rsidRPr="007D0D9E">
        <w:rPr>
          <w:rFonts w:ascii="Garamond" w:hAnsi="Garamond"/>
        </w:rPr>
        <w:t xml:space="preserve"> (Routledge 2016) chapter 1.</w:t>
      </w:r>
    </w:p>
  </w:endnote>
  <w:endnote w:id="119">
    <w:p w14:paraId="61E54155" w14:textId="2527949C" w:rsidR="00461337" w:rsidRPr="007D0D9E" w:rsidRDefault="00461337">
      <w:pPr>
        <w:pStyle w:val="EndnoteText"/>
        <w:rPr>
          <w:rFonts w:ascii="Garamond" w:hAnsi="Garamond"/>
        </w:rPr>
      </w:pPr>
      <w:r w:rsidRPr="007D0D9E">
        <w:rPr>
          <w:rStyle w:val="EndnoteReference"/>
          <w:rFonts w:ascii="Garamond" w:hAnsi="Garamond"/>
        </w:rPr>
        <w:endnoteRef/>
      </w:r>
      <w:r w:rsidRPr="007D0D9E">
        <w:rPr>
          <w:rFonts w:ascii="Garamond" w:hAnsi="Garamond"/>
        </w:rPr>
        <w:t xml:space="preserve"> Rebecca Bryant, ‘The Anthropology of the Future’ (2020) 32(1) </w:t>
      </w:r>
      <w:r w:rsidRPr="007D0D9E">
        <w:rPr>
          <w:rFonts w:ascii="Garamond" w:hAnsi="Garamond"/>
        </w:rPr>
        <w:t>Etnofoor 11-22, 21.</w:t>
      </w:r>
    </w:p>
  </w:endnote>
  <w:endnote w:id="120">
    <w:p w14:paraId="43E6AF4E" w14:textId="77777777" w:rsidR="00AF17AE" w:rsidRPr="007D0D9E" w:rsidRDefault="00AF17AE" w:rsidP="00AF17AE">
      <w:pPr>
        <w:pStyle w:val="EndnoteText"/>
        <w:jc w:val="both"/>
        <w:rPr>
          <w:rFonts w:ascii="Garamond" w:hAnsi="Garamond"/>
        </w:rPr>
      </w:pPr>
      <w:r w:rsidRPr="004458CC">
        <w:rPr>
          <w:rStyle w:val="EndnoteReference"/>
          <w:rFonts w:ascii="Garamond" w:hAnsi="Garamond"/>
        </w:rPr>
        <w:endnoteRef/>
      </w:r>
      <w:r w:rsidRPr="004458CC">
        <w:rPr>
          <w:rFonts w:ascii="Garamond" w:hAnsi="Garamond"/>
        </w:rPr>
        <w:t xml:space="preserve"> The phrasing</w:t>
      </w:r>
      <w:r w:rsidRPr="007D0D9E">
        <w:rPr>
          <w:rFonts w:ascii="Garamond" w:hAnsi="Garamond"/>
        </w:rPr>
        <w:t xml:space="preserve"> here is adapted from </w:t>
      </w:r>
      <w:r w:rsidRPr="007D0D9E">
        <w:rPr>
          <w:rFonts w:ascii="Garamond" w:hAnsi="Garamond"/>
        </w:rPr>
        <w:t xml:space="preserve">Shaunnagh Dorsett and Shaun McVeigh, </w:t>
      </w:r>
      <w:r w:rsidRPr="007D0D9E">
        <w:rPr>
          <w:rFonts w:ascii="Garamond" w:hAnsi="Garamond"/>
          <w:i/>
          <w:iCs/>
        </w:rPr>
        <w:t>Jurisdiction</w:t>
      </w:r>
      <w:r w:rsidRPr="007D0D9E">
        <w:rPr>
          <w:rFonts w:ascii="Garamond" w:hAnsi="Garamond"/>
        </w:rPr>
        <w:t xml:space="preserve"> (Routledge 2012) particularly chapter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2B38B" w14:textId="77777777" w:rsidR="004E3D92" w:rsidRDefault="004E3D92" w:rsidP="00B946F2">
      <w:r>
        <w:separator/>
      </w:r>
    </w:p>
  </w:footnote>
  <w:footnote w:type="continuationSeparator" w:id="0">
    <w:p w14:paraId="58092F64" w14:textId="77777777" w:rsidR="004E3D92" w:rsidRDefault="004E3D92" w:rsidP="00B9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1150" w14:textId="320BE7E1" w:rsidR="00965702" w:rsidRPr="00E72458" w:rsidRDefault="00965702">
    <w:pPr>
      <w:pStyle w:val="Header"/>
      <w:rPr>
        <w:rFonts w:ascii="Garamond" w:hAnsi="Garamond"/>
      </w:rPr>
    </w:pPr>
    <w:r w:rsidRPr="00E72458">
      <w:rPr>
        <w:rFonts w:ascii="Garamond" w:hAnsi="Garamond"/>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C117C"/>
    <w:multiLevelType w:val="multilevel"/>
    <w:tmpl w:val="E336370A"/>
    <w:lvl w:ilvl="0">
      <w:start w:val="5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E486F"/>
    <w:multiLevelType w:val="hybridMultilevel"/>
    <w:tmpl w:val="12D0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53E83"/>
    <w:multiLevelType w:val="multilevel"/>
    <w:tmpl w:val="EA101734"/>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930A6A"/>
    <w:multiLevelType w:val="multilevel"/>
    <w:tmpl w:val="5EF076F4"/>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5B6E19"/>
    <w:multiLevelType w:val="multilevel"/>
    <w:tmpl w:val="27F2B6D4"/>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1770CF"/>
    <w:multiLevelType w:val="multilevel"/>
    <w:tmpl w:val="1E68BC14"/>
    <w:lvl w:ilvl="0">
      <w:start w:val="9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3F7205"/>
    <w:multiLevelType w:val="multilevel"/>
    <w:tmpl w:val="DAA8E0DA"/>
    <w:lvl w:ilvl="0">
      <w:start w:val="2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795A56"/>
    <w:multiLevelType w:val="multilevel"/>
    <w:tmpl w:val="DCB49E0C"/>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D0717B"/>
    <w:multiLevelType w:val="multilevel"/>
    <w:tmpl w:val="BA142010"/>
    <w:lvl w:ilvl="0">
      <w:start w:val="12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403A41"/>
    <w:multiLevelType w:val="multilevel"/>
    <w:tmpl w:val="3348D4DC"/>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14781"/>
    <w:multiLevelType w:val="multilevel"/>
    <w:tmpl w:val="AF12ED4E"/>
    <w:lvl w:ilvl="0">
      <w:start w:val="4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6"/>
  </w:num>
  <w:num w:numId="5">
    <w:abstractNumId w:val="10"/>
  </w:num>
  <w:num w:numId="6">
    <w:abstractNumId w:val="0"/>
  </w:num>
  <w:num w:numId="7">
    <w:abstractNumId w:val="5"/>
  </w:num>
  <w:num w:numId="8">
    <w:abstractNumId w:val="8"/>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7"/>
    <w:rsid w:val="00000034"/>
    <w:rsid w:val="000005A8"/>
    <w:rsid w:val="00001775"/>
    <w:rsid w:val="0000218C"/>
    <w:rsid w:val="0000218D"/>
    <w:rsid w:val="00002743"/>
    <w:rsid w:val="000039D1"/>
    <w:rsid w:val="000053F8"/>
    <w:rsid w:val="00005A1A"/>
    <w:rsid w:val="00005C30"/>
    <w:rsid w:val="00005DD9"/>
    <w:rsid w:val="00006810"/>
    <w:rsid w:val="00007B8F"/>
    <w:rsid w:val="000105C8"/>
    <w:rsid w:val="000108AB"/>
    <w:rsid w:val="00010A6B"/>
    <w:rsid w:val="0001160C"/>
    <w:rsid w:val="00011ABE"/>
    <w:rsid w:val="00011FFF"/>
    <w:rsid w:val="00012B40"/>
    <w:rsid w:val="00013414"/>
    <w:rsid w:val="00013926"/>
    <w:rsid w:val="00013CB9"/>
    <w:rsid w:val="00013DFA"/>
    <w:rsid w:val="00014340"/>
    <w:rsid w:val="000149C6"/>
    <w:rsid w:val="00014D27"/>
    <w:rsid w:val="0001508F"/>
    <w:rsid w:val="000205D1"/>
    <w:rsid w:val="00020BF0"/>
    <w:rsid w:val="000211A5"/>
    <w:rsid w:val="00022621"/>
    <w:rsid w:val="00022BCA"/>
    <w:rsid w:val="00023549"/>
    <w:rsid w:val="0002396C"/>
    <w:rsid w:val="00023EA3"/>
    <w:rsid w:val="0002490D"/>
    <w:rsid w:val="00024BCC"/>
    <w:rsid w:val="0002662A"/>
    <w:rsid w:val="00026806"/>
    <w:rsid w:val="00026938"/>
    <w:rsid w:val="000269F1"/>
    <w:rsid w:val="000308F1"/>
    <w:rsid w:val="00030EB5"/>
    <w:rsid w:val="000310E4"/>
    <w:rsid w:val="00034FA0"/>
    <w:rsid w:val="0003516B"/>
    <w:rsid w:val="000358B8"/>
    <w:rsid w:val="00036987"/>
    <w:rsid w:val="00037F93"/>
    <w:rsid w:val="00037FC0"/>
    <w:rsid w:val="0004058C"/>
    <w:rsid w:val="000417A1"/>
    <w:rsid w:val="0004287C"/>
    <w:rsid w:val="00044106"/>
    <w:rsid w:val="0004448D"/>
    <w:rsid w:val="00045C6C"/>
    <w:rsid w:val="0004659E"/>
    <w:rsid w:val="000467AD"/>
    <w:rsid w:val="00046CB0"/>
    <w:rsid w:val="00047100"/>
    <w:rsid w:val="000504B0"/>
    <w:rsid w:val="000522F7"/>
    <w:rsid w:val="00052E9D"/>
    <w:rsid w:val="00053CE7"/>
    <w:rsid w:val="00054087"/>
    <w:rsid w:val="00054ADB"/>
    <w:rsid w:val="00054B0C"/>
    <w:rsid w:val="0005512E"/>
    <w:rsid w:val="00055484"/>
    <w:rsid w:val="000563C6"/>
    <w:rsid w:val="00056D26"/>
    <w:rsid w:val="00056E7D"/>
    <w:rsid w:val="000570AC"/>
    <w:rsid w:val="00057F04"/>
    <w:rsid w:val="000600EF"/>
    <w:rsid w:val="00060205"/>
    <w:rsid w:val="0006021A"/>
    <w:rsid w:val="000605BA"/>
    <w:rsid w:val="00061B92"/>
    <w:rsid w:val="0006243A"/>
    <w:rsid w:val="00062BF2"/>
    <w:rsid w:val="00063913"/>
    <w:rsid w:val="00063DAC"/>
    <w:rsid w:val="000640ED"/>
    <w:rsid w:val="00065B08"/>
    <w:rsid w:val="00067E46"/>
    <w:rsid w:val="00070276"/>
    <w:rsid w:val="000706EA"/>
    <w:rsid w:val="00070831"/>
    <w:rsid w:val="00072B39"/>
    <w:rsid w:val="00075A63"/>
    <w:rsid w:val="00076E72"/>
    <w:rsid w:val="00077611"/>
    <w:rsid w:val="00077A9D"/>
    <w:rsid w:val="00080C52"/>
    <w:rsid w:val="00082556"/>
    <w:rsid w:val="00082889"/>
    <w:rsid w:val="00082DAE"/>
    <w:rsid w:val="00082DE2"/>
    <w:rsid w:val="000842C1"/>
    <w:rsid w:val="00085050"/>
    <w:rsid w:val="00085BE9"/>
    <w:rsid w:val="000861BF"/>
    <w:rsid w:val="00087334"/>
    <w:rsid w:val="0009063E"/>
    <w:rsid w:val="0009074C"/>
    <w:rsid w:val="00090823"/>
    <w:rsid w:val="00093356"/>
    <w:rsid w:val="000941CD"/>
    <w:rsid w:val="000944FA"/>
    <w:rsid w:val="0009563E"/>
    <w:rsid w:val="000956B2"/>
    <w:rsid w:val="00095FBC"/>
    <w:rsid w:val="0009698B"/>
    <w:rsid w:val="00096B7B"/>
    <w:rsid w:val="000A126B"/>
    <w:rsid w:val="000A1B4B"/>
    <w:rsid w:val="000A2D36"/>
    <w:rsid w:val="000A3205"/>
    <w:rsid w:val="000A4DC2"/>
    <w:rsid w:val="000A5780"/>
    <w:rsid w:val="000A629B"/>
    <w:rsid w:val="000A6458"/>
    <w:rsid w:val="000A6932"/>
    <w:rsid w:val="000B0228"/>
    <w:rsid w:val="000B0906"/>
    <w:rsid w:val="000B2268"/>
    <w:rsid w:val="000B263D"/>
    <w:rsid w:val="000B2D1D"/>
    <w:rsid w:val="000B3C50"/>
    <w:rsid w:val="000B60E8"/>
    <w:rsid w:val="000B6E19"/>
    <w:rsid w:val="000C0999"/>
    <w:rsid w:val="000C0BC2"/>
    <w:rsid w:val="000C14B7"/>
    <w:rsid w:val="000C2A2C"/>
    <w:rsid w:val="000C3C45"/>
    <w:rsid w:val="000C4EBF"/>
    <w:rsid w:val="000C5D4E"/>
    <w:rsid w:val="000C62B0"/>
    <w:rsid w:val="000C6731"/>
    <w:rsid w:val="000D04D2"/>
    <w:rsid w:val="000D0C55"/>
    <w:rsid w:val="000D145A"/>
    <w:rsid w:val="000D30D5"/>
    <w:rsid w:val="000D35E2"/>
    <w:rsid w:val="000D393C"/>
    <w:rsid w:val="000D3E74"/>
    <w:rsid w:val="000D4A5B"/>
    <w:rsid w:val="000D5381"/>
    <w:rsid w:val="000D61E5"/>
    <w:rsid w:val="000D7CA7"/>
    <w:rsid w:val="000E0224"/>
    <w:rsid w:val="000E0DBE"/>
    <w:rsid w:val="000E0E1F"/>
    <w:rsid w:val="000E1049"/>
    <w:rsid w:val="000E17E1"/>
    <w:rsid w:val="000E2816"/>
    <w:rsid w:val="000E341A"/>
    <w:rsid w:val="000E35A0"/>
    <w:rsid w:val="000E45F6"/>
    <w:rsid w:val="000E4B24"/>
    <w:rsid w:val="000E4F64"/>
    <w:rsid w:val="000E5346"/>
    <w:rsid w:val="000E558A"/>
    <w:rsid w:val="000E62C6"/>
    <w:rsid w:val="000F070A"/>
    <w:rsid w:val="000F1276"/>
    <w:rsid w:val="000F1406"/>
    <w:rsid w:val="000F1995"/>
    <w:rsid w:val="000F1B91"/>
    <w:rsid w:val="000F1DBB"/>
    <w:rsid w:val="000F29C3"/>
    <w:rsid w:val="000F3B04"/>
    <w:rsid w:val="000F3FB3"/>
    <w:rsid w:val="000F46B6"/>
    <w:rsid w:val="000F5C26"/>
    <w:rsid w:val="000F61E3"/>
    <w:rsid w:val="000F69CB"/>
    <w:rsid w:val="000F71A9"/>
    <w:rsid w:val="00100AB0"/>
    <w:rsid w:val="00102F3E"/>
    <w:rsid w:val="00106331"/>
    <w:rsid w:val="0010769F"/>
    <w:rsid w:val="00110230"/>
    <w:rsid w:val="001111C1"/>
    <w:rsid w:val="00111537"/>
    <w:rsid w:val="0011174C"/>
    <w:rsid w:val="00112C8A"/>
    <w:rsid w:val="0011362C"/>
    <w:rsid w:val="00113AF8"/>
    <w:rsid w:val="00114B0E"/>
    <w:rsid w:val="0011556F"/>
    <w:rsid w:val="0011796C"/>
    <w:rsid w:val="001203B5"/>
    <w:rsid w:val="00120A9E"/>
    <w:rsid w:val="00120AE4"/>
    <w:rsid w:val="0012167A"/>
    <w:rsid w:val="0012219D"/>
    <w:rsid w:val="00122EEB"/>
    <w:rsid w:val="001241DF"/>
    <w:rsid w:val="00125893"/>
    <w:rsid w:val="0012658B"/>
    <w:rsid w:val="00127E0F"/>
    <w:rsid w:val="00131E53"/>
    <w:rsid w:val="00131E7F"/>
    <w:rsid w:val="00132D96"/>
    <w:rsid w:val="001344A0"/>
    <w:rsid w:val="00135A6B"/>
    <w:rsid w:val="00136C2F"/>
    <w:rsid w:val="00141910"/>
    <w:rsid w:val="00142B59"/>
    <w:rsid w:val="00144A89"/>
    <w:rsid w:val="00144BF7"/>
    <w:rsid w:val="0014500D"/>
    <w:rsid w:val="00146D4B"/>
    <w:rsid w:val="00150AF0"/>
    <w:rsid w:val="0015115F"/>
    <w:rsid w:val="001511A8"/>
    <w:rsid w:val="00153B8D"/>
    <w:rsid w:val="00154A9F"/>
    <w:rsid w:val="00155714"/>
    <w:rsid w:val="00156D0D"/>
    <w:rsid w:val="00157A25"/>
    <w:rsid w:val="00157EDB"/>
    <w:rsid w:val="001613ED"/>
    <w:rsid w:val="00162655"/>
    <w:rsid w:val="0016314F"/>
    <w:rsid w:val="00163E55"/>
    <w:rsid w:val="0016518E"/>
    <w:rsid w:val="00166352"/>
    <w:rsid w:val="0016699C"/>
    <w:rsid w:val="00166D6D"/>
    <w:rsid w:val="001676A7"/>
    <w:rsid w:val="001679D7"/>
    <w:rsid w:val="00170A47"/>
    <w:rsid w:val="00170CBE"/>
    <w:rsid w:val="00171FD1"/>
    <w:rsid w:val="00173CED"/>
    <w:rsid w:val="0017431E"/>
    <w:rsid w:val="001743AB"/>
    <w:rsid w:val="00175598"/>
    <w:rsid w:val="001766EC"/>
    <w:rsid w:val="00176860"/>
    <w:rsid w:val="00176E47"/>
    <w:rsid w:val="00176F6E"/>
    <w:rsid w:val="001811DC"/>
    <w:rsid w:val="00184C2B"/>
    <w:rsid w:val="0018540A"/>
    <w:rsid w:val="001862A0"/>
    <w:rsid w:val="00186937"/>
    <w:rsid w:val="001906BF"/>
    <w:rsid w:val="001908EF"/>
    <w:rsid w:val="001913B1"/>
    <w:rsid w:val="0019275F"/>
    <w:rsid w:val="00193131"/>
    <w:rsid w:val="0019318B"/>
    <w:rsid w:val="0019368A"/>
    <w:rsid w:val="00193B01"/>
    <w:rsid w:val="00193E4E"/>
    <w:rsid w:val="00194DEB"/>
    <w:rsid w:val="0019725D"/>
    <w:rsid w:val="00197567"/>
    <w:rsid w:val="001A1018"/>
    <w:rsid w:val="001A10AE"/>
    <w:rsid w:val="001A37E3"/>
    <w:rsid w:val="001A3FA0"/>
    <w:rsid w:val="001A4181"/>
    <w:rsid w:val="001A4EB1"/>
    <w:rsid w:val="001A6655"/>
    <w:rsid w:val="001A6B06"/>
    <w:rsid w:val="001A6D81"/>
    <w:rsid w:val="001A7662"/>
    <w:rsid w:val="001A7ABC"/>
    <w:rsid w:val="001B0260"/>
    <w:rsid w:val="001B0311"/>
    <w:rsid w:val="001B03BD"/>
    <w:rsid w:val="001B0848"/>
    <w:rsid w:val="001B10AC"/>
    <w:rsid w:val="001B10DA"/>
    <w:rsid w:val="001B2415"/>
    <w:rsid w:val="001B296C"/>
    <w:rsid w:val="001B2FBF"/>
    <w:rsid w:val="001B34EF"/>
    <w:rsid w:val="001B35C7"/>
    <w:rsid w:val="001B37A8"/>
    <w:rsid w:val="001B3C47"/>
    <w:rsid w:val="001B4FC1"/>
    <w:rsid w:val="001B7C99"/>
    <w:rsid w:val="001C0ED2"/>
    <w:rsid w:val="001C102D"/>
    <w:rsid w:val="001C1E00"/>
    <w:rsid w:val="001C22D0"/>
    <w:rsid w:val="001C2740"/>
    <w:rsid w:val="001C4790"/>
    <w:rsid w:val="001C6683"/>
    <w:rsid w:val="001C7B21"/>
    <w:rsid w:val="001D0B82"/>
    <w:rsid w:val="001D1372"/>
    <w:rsid w:val="001D31DB"/>
    <w:rsid w:val="001D53CB"/>
    <w:rsid w:val="001D53F2"/>
    <w:rsid w:val="001D5610"/>
    <w:rsid w:val="001D5A61"/>
    <w:rsid w:val="001D6925"/>
    <w:rsid w:val="001D6D46"/>
    <w:rsid w:val="001D743F"/>
    <w:rsid w:val="001D7950"/>
    <w:rsid w:val="001E05F0"/>
    <w:rsid w:val="001E0674"/>
    <w:rsid w:val="001E0FAF"/>
    <w:rsid w:val="001E104B"/>
    <w:rsid w:val="001E1197"/>
    <w:rsid w:val="001E19FA"/>
    <w:rsid w:val="001E2418"/>
    <w:rsid w:val="001E2A5C"/>
    <w:rsid w:val="001E2D6A"/>
    <w:rsid w:val="001E4164"/>
    <w:rsid w:val="001E53BA"/>
    <w:rsid w:val="001E565B"/>
    <w:rsid w:val="001E7086"/>
    <w:rsid w:val="001E72C9"/>
    <w:rsid w:val="001E76B1"/>
    <w:rsid w:val="001F0576"/>
    <w:rsid w:val="001F0A4E"/>
    <w:rsid w:val="001F1306"/>
    <w:rsid w:val="001F2044"/>
    <w:rsid w:val="001F2F22"/>
    <w:rsid w:val="001F39B9"/>
    <w:rsid w:val="001F3A48"/>
    <w:rsid w:val="001F3D89"/>
    <w:rsid w:val="001F46D8"/>
    <w:rsid w:val="001F47B8"/>
    <w:rsid w:val="001F596C"/>
    <w:rsid w:val="001F5A90"/>
    <w:rsid w:val="001F6611"/>
    <w:rsid w:val="001F7DC2"/>
    <w:rsid w:val="002017E5"/>
    <w:rsid w:val="0020302C"/>
    <w:rsid w:val="002037A5"/>
    <w:rsid w:val="00203BCD"/>
    <w:rsid w:val="00203E3A"/>
    <w:rsid w:val="00204159"/>
    <w:rsid w:val="00204337"/>
    <w:rsid w:val="002044F2"/>
    <w:rsid w:val="00207256"/>
    <w:rsid w:val="00207955"/>
    <w:rsid w:val="00207B0A"/>
    <w:rsid w:val="002102F0"/>
    <w:rsid w:val="002103E4"/>
    <w:rsid w:val="00211017"/>
    <w:rsid w:val="00211974"/>
    <w:rsid w:val="00211CCF"/>
    <w:rsid w:val="00213D1B"/>
    <w:rsid w:val="0021426A"/>
    <w:rsid w:val="00214D33"/>
    <w:rsid w:val="002162D7"/>
    <w:rsid w:val="00217006"/>
    <w:rsid w:val="00217679"/>
    <w:rsid w:val="0022078E"/>
    <w:rsid w:val="00221AF6"/>
    <w:rsid w:val="00222AD2"/>
    <w:rsid w:val="002231B8"/>
    <w:rsid w:val="00223A7B"/>
    <w:rsid w:val="00223C60"/>
    <w:rsid w:val="00224BB6"/>
    <w:rsid w:val="00224F0F"/>
    <w:rsid w:val="0022599C"/>
    <w:rsid w:val="00225FE5"/>
    <w:rsid w:val="00226B19"/>
    <w:rsid w:val="002316A6"/>
    <w:rsid w:val="002333BF"/>
    <w:rsid w:val="002334FC"/>
    <w:rsid w:val="00234931"/>
    <w:rsid w:val="00234CB5"/>
    <w:rsid w:val="00234E17"/>
    <w:rsid w:val="00235409"/>
    <w:rsid w:val="002362E9"/>
    <w:rsid w:val="002363F8"/>
    <w:rsid w:val="002368FD"/>
    <w:rsid w:val="00237409"/>
    <w:rsid w:val="002376EA"/>
    <w:rsid w:val="0023796E"/>
    <w:rsid w:val="002406C5"/>
    <w:rsid w:val="00241A2F"/>
    <w:rsid w:val="00241F8A"/>
    <w:rsid w:val="00242B72"/>
    <w:rsid w:val="0024477D"/>
    <w:rsid w:val="00244BC4"/>
    <w:rsid w:val="0024575E"/>
    <w:rsid w:val="00245801"/>
    <w:rsid w:val="002466ED"/>
    <w:rsid w:val="00250770"/>
    <w:rsid w:val="0025077F"/>
    <w:rsid w:val="00251954"/>
    <w:rsid w:val="00253483"/>
    <w:rsid w:val="0025372B"/>
    <w:rsid w:val="0025393F"/>
    <w:rsid w:val="00253BF7"/>
    <w:rsid w:val="002541E1"/>
    <w:rsid w:val="002548BD"/>
    <w:rsid w:val="002553A1"/>
    <w:rsid w:val="00255B38"/>
    <w:rsid w:val="00255DEB"/>
    <w:rsid w:val="00256045"/>
    <w:rsid w:val="00256FDF"/>
    <w:rsid w:val="002576F2"/>
    <w:rsid w:val="00257AFE"/>
    <w:rsid w:val="002610A6"/>
    <w:rsid w:val="00263345"/>
    <w:rsid w:val="002634D2"/>
    <w:rsid w:val="0026387E"/>
    <w:rsid w:val="00263F8B"/>
    <w:rsid w:val="00264E9D"/>
    <w:rsid w:val="00265DCE"/>
    <w:rsid w:val="002666AF"/>
    <w:rsid w:val="00266C2E"/>
    <w:rsid w:val="00270160"/>
    <w:rsid w:val="002705AF"/>
    <w:rsid w:val="00271539"/>
    <w:rsid w:val="00271948"/>
    <w:rsid w:val="00271ACD"/>
    <w:rsid w:val="002724C4"/>
    <w:rsid w:val="0027270A"/>
    <w:rsid w:val="00272C85"/>
    <w:rsid w:val="0027377D"/>
    <w:rsid w:val="00273B15"/>
    <w:rsid w:val="00276A10"/>
    <w:rsid w:val="0027750A"/>
    <w:rsid w:val="00277F97"/>
    <w:rsid w:val="0028061D"/>
    <w:rsid w:val="00280D3D"/>
    <w:rsid w:val="00281446"/>
    <w:rsid w:val="00281C38"/>
    <w:rsid w:val="00282B09"/>
    <w:rsid w:val="0028388E"/>
    <w:rsid w:val="002839DC"/>
    <w:rsid w:val="0028407F"/>
    <w:rsid w:val="00284E98"/>
    <w:rsid w:val="0028576B"/>
    <w:rsid w:val="00285AB8"/>
    <w:rsid w:val="00285D11"/>
    <w:rsid w:val="00286250"/>
    <w:rsid w:val="00286F95"/>
    <w:rsid w:val="00290275"/>
    <w:rsid w:val="002903EF"/>
    <w:rsid w:val="00290485"/>
    <w:rsid w:val="0029269B"/>
    <w:rsid w:val="00293610"/>
    <w:rsid w:val="00293CC9"/>
    <w:rsid w:val="002949A2"/>
    <w:rsid w:val="00296DA9"/>
    <w:rsid w:val="002976ED"/>
    <w:rsid w:val="002A0A18"/>
    <w:rsid w:val="002A189A"/>
    <w:rsid w:val="002A1B7C"/>
    <w:rsid w:val="002A48F7"/>
    <w:rsid w:val="002A6DA2"/>
    <w:rsid w:val="002A7971"/>
    <w:rsid w:val="002B02C4"/>
    <w:rsid w:val="002B1B9D"/>
    <w:rsid w:val="002B1D99"/>
    <w:rsid w:val="002B1F7B"/>
    <w:rsid w:val="002B2180"/>
    <w:rsid w:val="002B21F5"/>
    <w:rsid w:val="002B2E23"/>
    <w:rsid w:val="002B40CA"/>
    <w:rsid w:val="002B5B0D"/>
    <w:rsid w:val="002B5B8D"/>
    <w:rsid w:val="002B5CDB"/>
    <w:rsid w:val="002B6361"/>
    <w:rsid w:val="002B6750"/>
    <w:rsid w:val="002B6E44"/>
    <w:rsid w:val="002C1D51"/>
    <w:rsid w:val="002C272D"/>
    <w:rsid w:val="002C4217"/>
    <w:rsid w:val="002C48B0"/>
    <w:rsid w:val="002C4CFE"/>
    <w:rsid w:val="002C6653"/>
    <w:rsid w:val="002C708F"/>
    <w:rsid w:val="002C70EB"/>
    <w:rsid w:val="002D096C"/>
    <w:rsid w:val="002D0E7C"/>
    <w:rsid w:val="002D1017"/>
    <w:rsid w:val="002D36D8"/>
    <w:rsid w:val="002D55B7"/>
    <w:rsid w:val="002E09AC"/>
    <w:rsid w:val="002E2199"/>
    <w:rsid w:val="002E21E8"/>
    <w:rsid w:val="002E298F"/>
    <w:rsid w:val="002E34A3"/>
    <w:rsid w:val="002E35F5"/>
    <w:rsid w:val="002E3DC7"/>
    <w:rsid w:val="002E4743"/>
    <w:rsid w:val="002E4B8A"/>
    <w:rsid w:val="002E65A0"/>
    <w:rsid w:val="002E68AB"/>
    <w:rsid w:val="002E7B92"/>
    <w:rsid w:val="002F0FC6"/>
    <w:rsid w:val="002F12DE"/>
    <w:rsid w:val="002F1476"/>
    <w:rsid w:val="002F154D"/>
    <w:rsid w:val="002F20B4"/>
    <w:rsid w:val="002F2248"/>
    <w:rsid w:val="002F3ED6"/>
    <w:rsid w:val="002F3F14"/>
    <w:rsid w:val="002F46ED"/>
    <w:rsid w:val="002F528F"/>
    <w:rsid w:val="002F6130"/>
    <w:rsid w:val="002F758F"/>
    <w:rsid w:val="002F769D"/>
    <w:rsid w:val="002F7C6F"/>
    <w:rsid w:val="00300AE4"/>
    <w:rsid w:val="00300B82"/>
    <w:rsid w:val="00301A25"/>
    <w:rsid w:val="00302101"/>
    <w:rsid w:val="00303649"/>
    <w:rsid w:val="0030371A"/>
    <w:rsid w:val="003053A2"/>
    <w:rsid w:val="00305DF9"/>
    <w:rsid w:val="00307DFB"/>
    <w:rsid w:val="003110B6"/>
    <w:rsid w:val="003125DE"/>
    <w:rsid w:val="0031371C"/>
    <w:rsid w:val="00313780"/>
    <w:rsid w:val="00315ED3"/>
    <w:rsid w:val="0031659F"/>
    <w:rsid w:val="00317442"/>
    <w:rsid w:val="0032082D"/>
    <w:rsid w:val="00320C4A"/>
    <w:rsid w:val="0032119E"/>
    <w:rsid w:val="003223CD"/>
    <w:rsid w:val="00322B49"/>
    <w:rsid w:val="00322CEA"/>
    <w:rsid w:val="00322E9A"/>
    <w:rsid w:val="00323487"/>
    <w:rsid w:val="003246AE"/>
    <w:rsid w:val="00324A0B"/>
    <w:rsid w:val="00325977"/>
    <w:rsid w:val="00325A46"/>
    <w:rsid w:val="00326137"/>
    <w:rsid w:val="003277CB"/>
    <w:rsid w:val="00327D36"/>
    <w:rsid w:val="003303DB"/>
    <w:rsid w:val="003320A3"/>
    <w:rsid w:val="00332DF1"/>
    <w:rsid w:val="003348EF"/>
    <w:rsid w:val="00335023"/>
    <w:rsid w:val="0033566F"/>
    <w:rsid w:val="00335F35"/>
    <w:rsid w:val="0033687F"/>
    <w:rsid w:val="0033759F"/>
    <w:rsid w:val="00337D01"/>
    <w:rsid w:val="003403D1"/>
    <w:rsid w:val="0034277D"/>
    <w:rsid w:val="00342BCE"/>
    <w:rsid w:val="003436EE"/>
    <w:rsid w:val="00344B59"/>
    <w:rsid w:val="00345300"/>
    <w:rsid w:val="003454F7"/>
    <w:rsid w:val="00346308"/>
    <w:rsid w:val="00347E87"/>
    <w:rsid w:val="00350660"/>
    <w:rsid w:val="00351153"/>
    <w:rsid w:val="00351765"/>
    <w:rsid w:val="00351BF7"/>
    <w:rsid w:val="003527EB"/>
    <w:rsid w:val="00352C83"/>
    <w:rsid w:val="003538B3"/>
    <w:rsid w:val="0035432B"/>
    <w:rsid w:val="00354A52"/>
    <w:rsid w:val="00354B19"/>
    <w:rsid w:val="0035505B"/>
    <w:rsid w:val="00355C6C"/>
    <w:rsid w:val="0035611B"/>
    <w:rsid w:val="00356713"/>
    <w:rsid w:val="00356A6B"/>
    <w:rsid w:val="003577BA"/>
    <w:rsid w:val="003579F2"/>
    <w:rsid w:val="00357C47"/>
    <w:rsid w:val="00361752"/>
    <w:rsid w:val="00362049"/>
    <w:rsid w:val="00362C3D"/>
    <w:rsid w:val="00362F08"/>
    <w:rsid w:val="00363323"/>
    <w:rsid w:val="003635EB"/>
    <w:rsid w:val="0036374C"/>
    <w:rsid w:val="00363F6C"/>
    <w:rsid w:val="003640B8"/>
    <w:rsid w:val="00366703"/>
    <w:rsid w:val="00366C7C"/>
    <w:rsid w:val="00367AEC"/>
    <w:rsid w:val="00367F60"/>
    <w:rsid w:val="0037018F"/>
    <w:rsid w:val="00370FDB"/>
    <w:rsid w:val="003713A2"/>
    <w:rsid w:val="00371B10"/>
    <w:rsid w:val="003723C3"/>
    <w:rsid w:val="003728C5"/>
    <w:rsid w:val="00372A07"/>
    <w:rsid w:val="00374003"/>
    <w:rsid w:val="00374300"/>
    <w:rsid w:val="00374C8A"/>
    <w:rsid w:val="00375A17"/>
    <w:rsid w:val="0037771C"/>
    <w:rsid w:val="003779F4"/>
    <w:rsid w:val="00380236"/>
    <w:rsid w:val="00380CE3"/>
    <w:rsid w:val="0038208C"/>
    <w:rsid w:val="00382297"/>
    <w:rsid w:val="00386BDC"/>
    <w:rsid w:val="00386EE3"/>
    <w:rsid w:val="00387CCD"/>
    <w:rsid w:val="0039010A"/>
    <w:rsid w:val="003901F8"/>
    <w:rsid w:val="00391AEF"/>
    <w:rsid w:val="00391F1E"/>
    <w:rsid w:val="00391F80"/>
    <w:rsid w:val="0039305A"/>
    <w:rsid w:val="003935AE"/>
    <w:rsid w:val="00393D3D"/>
    <w:rsid w:val="00393E19"/>
    <w:rsid w:val="00393F36"/>
    <w:rsid w:val="00394DEE"/>
    <w:rsid w:val="0039521B"/>
    <w:rsid w:val="003959E9"/>
    <w:rsid w:val="00396FF2"/>
    <w:rsid w:val="00397C7E"/>
    <w:rsid w:val="00397FB2"/>
    <w:rsid w:val="003A0374"/>
    <w:rsid w:val="003A0CD6"/>
    <w:rsid w:val="003A0E73"/>
    <w:rsid w:val="003A1076"/>
    <w:rsid w:val="003A23F0"/>
    <w:rsid w:val="003A27F9"/>
    <w:rsid w:val="003A3423"/>
    <w:rsid w:val="003A4F33"/>
    <w:rsid w:val="003A586B"/>
    <w:rsid w:val="003A605A"/>
    <w:rsid w:val="003A7079"/>
    <w:rsid w:val="003A79CB"/>
    <w:rsid w:val="003B2069"/>
    <w:rsid w:val="003B26D5"/>
    <w:rsid w:val="003B2807"/>
    <w:rsid w:val="003B38B6"/>
    <w:rsid w:val="003B5A79"/>
    <w:rsid w:val="003B5E5C"/>
    <w:rsid w:val="003B6257"/>
    <w:rsid w:val="003B687C"/>
    <w:rsid w:val="003B729E"/>
    <w:rsid w:val="003B72BA"/>
    <w:rsid w:val="003B741B"/>
    <w:rsid w:val="003B7F93"/>
    <w:rsid w:val="003C0A66"/>
    <w:rsid w:val="003C146D"/>
    <w:rsid w:val="003C2577"/>
    <w:rsid w:val="003C345D"/>
    <w:rsid w:val="003C7541"/>
    <w:rsid w:val="003D0908"/>
    <w:rsid w:val="003D259F"/>
    <w:rsid w:val="003D2930"/>
    <w:rsid w:val="003D2A97"/>
    <w:rsid w:val="003D4A86"/>
    <w:rsid w:val="003D57D9"/>
    <w:rsid w:val="003D5C46"/>
    <w:rsid w:val="003D6E40"/>
    <w:rsid w:val="003D72CE"/>
    <w:rsid w:val="003D7363"/>
    <w:rsid w:val="003E1311"/>
    <w:rsid w:val="003E3746"/>
    <w:rsid w:val="003E3EEF"/>
    <w:rsid w:val="003E4D29"/>
    <w:rsid w:val="003E579E"/>
    <w:rsid w:val="003E58EB"/>
    <w:rsid w:val="003E5D5D"/>
    <w:rsid w:val="003E6796"/>
    <w:rsid w:val="003E6AB2"/>
    <w:rsid w:val="003E7578"/>
    <w:rsid w:val="003E79D8"/>
    <w:rsid w:val="003F3B05"/>
    <w:rsid w:val="003F4071"/>
    <w:rsid w:val="003F4DC6"/>
    <w:rsid w:val="003F513B"/>
    <w:rsid w:val="003F596A"/>
    <w:rsid w:val="003F621D"/>
    <w:rsid w:val="003F69CD"/>
    <w:rsid w:val="003F718F"/>
    <w:rsid w:val="003F71A5"/>
    <w:rsid w:val="0040018A"/>
    <w:rsid w:val="00402BC7"/>
    <w:rsid w:val="00404694"/>
    <w:rsid w:val="0040473E"/>
    <w:rsid w:val="00404BF0"/>
    <w:rsid w:val="00405DD1"/>
    <w:rsid w:val="00407F8D"/>
    <w:rsid w:val="004120C5"/>
    <w:rsid w:val="00412499"/>
    <w:rsid w:val="004124E8"/>
    <w:rsid w:val="00412798"/>
    <w:rsid w:val="004128DD"/>
    <w:rsid w:val="00412A2C"/>
    <w:rsid w:val="004136E3"/>
    <w:rsid w:val="00413C6A"/>
    <w:rsid w:val="00413F06"/>
    <w:rsid w:val="00413FCA"/>
    <w:rsid w:val="0041400F"/>
    <w:rsid w:val="004148A7"/>
    <w:rsid w:val="004148D2"/>
    <w:rsid w:val="00414F25"/>
    <w:rsid w:val="00414F9D"/>
    <w:rsid w:val="00415489"/>
    <w:rsid w:val="00415946"/>
    <w:rsid w:val="004169BC"/>
    <w:rsid w:val="00417083"/>
    <w:rsid w:val="004207B9"/>
    <w:rsid w:val="00420E62"/>
    <w:rsid w:val="0042161E"/>
    <w:rsid w:val="0042179F"/>
    <w:rsid w:val="00422146"/>
    <w:rsid w:val="0042228A"/>
    <w:rsid w:val="004222F5"/>
    <w:rsid w:val="00422A7A"/>
    <w:rsid w:val="0042417A"/>
    <w:rsid w:val="00424EC9"/>
    <w:rsid w:val="0042528D"/>
    <w:rsid w:val="00426062"/>
    <w:rsid w:val="004264C2"/>
    <w:rsid w:val="00426D15"/>
    <w:rsid w:val="00430B1B"/>
    <w:rsid w:val="004317F9"/>
    <w:rsid w:val="00431C35"/>
    <w:rsid w:val="004325AA"/>
    <w:rsid w:val="00432930"/>
    <w:rsid w:val="00433809"/>
    <w:rsid w:val="00433DD3"/>
    <w:rsid w:val="0043452B"/>
    <w:rsid w:val="00434B24"/>
    <w:rsid w:val="00435174"/>
    <w:rsid w:val="004353BD"/>
    <w:rsid w:val="00435ADD"/>
    <w:rsid w:val="00435AEB"/>
    <w:rsid w:val="00436912"/>
    <w:rsid w:val="004371A9"/>
    <w:rsid w:val="00440F2A"/>
    <w:rsid w:val="00441702"/>
    <w:rsid w:val="00441DEA"/>
    <w:rsid w:val="0044278B"/>
    <w:rsid w:val="00442871"/>
    <w:rsid w:val="00445663"/>
    <w:rsid w:val="004457F2"/>
    <w:rsid w:val="004458CC"/>
    <w:rsid w:val="00447820"/>
    <w:rsid w:val="00447B7E"/>
    <w:rsid w:val="0045007A"/>
    <w:rsid w:val="004502C6"/>
    <w:rsid w:val="004524A2"/>
    <w:rsid w:val="00452D20"/>
    <w:rsid w:val="0045552B"/>
    <w:rsid w:val="00455C31"/>
    <w:rsid w:val="00456042"/>
    <w:rsid w:val="00456240"/>
    <w:rsid w:val="004562A8"/>
    <w:rsid w:val="004576E6"/>
    <w:rsid w:val="00457AFA"/>
    <w:rsid w:val="00460088"/>
    <w:rsid w:val="0046032D"/>
    <w:rsid w:val="004606FB"/>
    <w:rsid w:val="00460A0C"/>
    <w:rsid w:val="00461337"/>
    <w:rsid w:val="00462C29"/>
    <w:rsid w:val="0046390D"/>
    <w:rsid w:val="00463F3A"/>
    <w:rsid w:val="00464D09"/>
    <w:rsid w:val="00464E5B"/>
    <w:rsid w:val="00465822"/>
    <w:rsid w:val="00465B00"/>
    <w:rsid w:val="004702B6"/>
    <w:rsid w:val="00470700"/>
    <w:rsid w:val="004707CF"/>
    <w:rsid w:val="004711A9"/>
    <w:rsid w:val="00472CB8"/>
    <w:rsid w:val="004736E3"/>
    <w:rsid w:val="00473A9E"/>
    <w:rsid w:val="00473EA8"/>
    <w:rsid w:val="004749D0"/>
    <w:rsid w:val="00474EC7"/>
    <w:rsid w:val="004752B3"/>
    <w:rsid w:val="00475A2E"/>
    <w:rsid w:val="00475D8B"/>
    <w:rsid w:val="00476073"/>
    <w:rsid w:val="004762C6"/>
    <w:rsid w:val="004764B5"/>
    <w:rsid w:val="004773C5"/>
    <w:rsid w:val="004776EC"/>
    <w:rsid w:val="00477E23"/>
    <w:rsid w:val="0048037E"/>
    <w:rsid w:val="00481535"/>
    <w:rsid w:val="00481F6D"/>
    <w:rsid w:val="00482639"/>
    <w:rsid w:val="00483C69"/>
    <w:rsid w:val="00484812"/>
    <w:rsid w:val="00484AF7"/>
    <w:rsid w:val="00485128"/>
    <w:rsid w:val="00485B65"/>
    <w:rsid w:val="00486C5C"/>
    <w:rsid w:val="00486E79"/>
    <w:rsid w:val="00487192"/>
    <w:rsid w:val="00487660"/>
    <w:rsid w:val="004877CB"/>
    <w:rsid w:val="00490365"/>
    <w:rsid w:val="00492317"/>
    <w:rsid w:val="00492666"/>
    <w:rsid w:val="0049274A"/>
    <w:rsid w:val="00493053"/>
    <w:rsid w:val="0049315E"/>
    <w:rsid w:val="00493545"/>
    <w:rsid w:val="00493BAD"/>
    <w:rsid w:val="00493CA0"/>
    <w:rsid w:val="00494A10"/>
    <w:rsid w:val="00496225"/>
    <w:rsid w:val="00496783"/>
    <w:rsid w:val="004A13E4"/>
    <w:rsid w:val="004A1E0E"/>
    <w:rsid w:val="004A25FF"/>
    <w:rsid w:val="004A2EBE"/>
    <w:rsid w:val="004A33C8"/>
    <w:rsid w:val="004A3D0E"/>
    <w:rsid w:val="004A4FC4"/>
    <w:rsid w:val="004A5B5C"/>
    <w:rsid w:val="004A7E7B"/>
    <w:rsid w:val="004A7FAD"/>
    <w:rsid w:val="004B1012"/>
    <w:rsid w:val="004B1B80"/>
    <w:rsid w:val="004B27E7"/>
    <w:rsid w:val="004B379D"/>
    <w:rsid w:val="004B3D9F"/>
    <w:rsid w:val="004B5311"/>
    <w:rsid w:val="004B55F5"/>
    <w:rsid w:val="004B5F10"/>
    <w:rsid w:val="004B6138"/>
    <w:rsid w:val="004B6536"/>
    <w:rsid w:val="004B6C7F"/>
    <w:rsid w:val="004B6CD9"/>
    <w:rsid w:val="004B6EE5"/>
    <w:rsid w:val="004C04F8"/>
    <w:rsid w:val="004C1B7D"/>
    <w:rsid w:val="004C276F"/>
    <w:rsid w:val="004C3608"/>
    <w:rsid w:val="004C3C9A"/>
    <w:rsid w:val="004C3FB0"/>
    <w:rsid w:val="004C4DA3"/>
    <w:rsid w:val="004C4FA0"/>
    <w:rsid w:val="004C5864"/>
    <w:rsid w:val="004C6147"/>
    <w:rsid w:val="004D131C"/>
    <w:rsid w:val="004D1462"/>
    <w:rsid w:val="004D2994"/>
    <w:rsid w:val="004D2C63"/>
    <w:rsid w:val="004D37CC"/>
    <w:rsid w:val="004D6B62"/>
    <w:rsid w:val="004D6EDD"/>
    <w:rsid w:val="004D7CFD"/>
    <w:rsid w:val="004E07C2"/>
    <w:rsid w:val="004E1A32"/>
    <w:rsid w:val="004E1BC5"/>
    <w:rsid w:val="004E2D36"/>
    <w:rsid w:val="004E2E8F"/>
    <w:rsid w:val="004E3535"/>
    <w:rsid w:val="004E35F1"/>
    <w:rsid w:val="004E396E"/>
    <w:rsid w:val="004E3D92"/>
    <w:rsid w:val="004E46EF"/>
    <w:rsid w:val="004E5853"/>
    <w:rsid w:val="004E5AF9"/>
    <w:rsid w:val="004E5DEA"/>
    <w:rsid w:val="004E6DEC"/>
    <w:rsid w:val="004E7511"/>
    <w:rsid w:val="004E75AC"/>
    <w:rsid w:val="004F0C87"/>
    <w:rsid w:val="004F111F"/>
    <w:rsid w:val="004F2B71"/>
    <w:rsid w:val="004F2CE0"/>
    <w:rsid w:val="004F33D9"/>
    <w:rsid w:val="004F37E2"/>
    <w:rsid w:val="004F3D69"/>
    <w:rsid w:val="004F46C0"/>
    <w:rsid w:val="004F46FF"/>
    <w:rsid w:val="004F4A4E"/>
    <w:rsid w:val="004F5222"/>
    <w:rsid w:val="004F53B0"/>
    <w:rsid w:val="004F75DE"/>
    <w:rsid w:val="004F7880"/>
    <w:rsid w:val="004F7FE5"/>
    <w:rsid w:val="00500B9D"/>
    <w:rsid w:val="005015A6"/>
    <w:rsid w:val="00502ABD"/>
    <w:rsid w:val="005032D0"/>
    <w:rsid w:val="0050404E"/>
    <w:rsid w:val="00504329"/>
    <w:rsid w:val="00504C8F"/>
    <w:rsid w:val="00504F00"/>
    <w:rsid w:val="00504F03"/>
    <w:rsid w:val="005050C6"/>
    <w:rsid w:val="005052D2"/>
    <w:rsid w:val="0050583E"/>
    <w:rsid w:val="00506665"/>
    <w:rsid w:val="00506FEC"/>
    <w:rsid w:val="00507BA5"/>
    <w:rsid w:val="00507BE3"/>
    <w:rsid w:val="005109B5"/>
    <w:rsid w:val="0051117C"/>
    <w:rsid w:val="00512029"/>
    <w:rsid w:val="00512570"/>
    <w:rsid w:val="00512A39"/>
    <w:rsid w:val="00512FCA"/>
    <w:rsid w:val="00513B4B"/>
    <w:rsid w:val="00513C6A"/>
    <w:rsid w:val="00513D27"/>
    <w:rsid w:val="005147F7"/>
    <w:rsid w:val="00514F01"/>
    <w:rsid w:val="00515898"/>
    <w:rsid w:val="00516ABD"/>
    <w:rsid w:val="0051743D"/>
    <w:rsid w:val="00520B9B"/>
    <w:rsid w:val="00521815"/>
    <w:rsid w:val="005224B9"/>
    <w:rsid w:val="005231F9"/>
    <w:rsid w:val="00523526"/>
    <w:rsid w:val="0052408A"/>
    <w:rsid w:val="00524A9E"/>
    <w:rsid w:val="00524B52"/>
    <w:rsid w:val="00524E14"/>
    <w:rsid w:val="0052521B"/>
    <w:rsid w:val="005265A7"/>
    <w:rsid w:val="00530F62"/>
    <w:rsid w:val="00531845"/>
    <w:rsid w:val="00531C5E"/>
    <w:rsid w:val="005327D2"/>
    <w:rsid w:val="005336E6"/>
    <w:rsid w:val="00533888"/>
    <w:rsid w:val="00534120"/>
    <w:rsid w:val="005342A1"/>
    <w:rsid w:val="00535FEF"/>
    <w:rsid w:val="0053700E"/>
    <w:rsid w:val="005406D5"/>
    <w:rsid w:val="005413BF"/>
    <w:rsid w:val="00542A35"/>
    <w:rsid w:val="00544F2C"/>
    <w:rsid w:val="00546BFE"/>
    <w:rsid w:val="0054727A"/>
    <w:rsid w:val="005478F2"/>
    <w:rsid w:val="005501EB"/>
    <w:rsid w:val="00550B7B"/>
    <w:rsid w:val="00550C8C"/>
    <w:rsid w:val="00551726"/>
    <w:rsid w:val="00551BD4"/>
    <w:rsid w:val="00551E3B"/>
    <w:rsid w:val="00552D40"/>
    <w:rsid w:val="00553469"/>
    <w:rsid w:val="005534EE"/>
    <w:rsid w:val="00553A80"/>
    <w:rsid w:val="0055413C"/>
    <w:rsid w:val="005543E6"/>
    <w:rsid w:val="00554D1B"/>
    <w:rsid w:val="00555EFA"/>
    <w:rsid w:val="00556180"/>
    <w:rsid w:val="005566FE"/>
    <w:rsid w:val="00557A45"/>
    <w:rsid w:val="00560AA9"/>
    <w:rsid w:val="005614CA"/>
    <w:rsid w:val="005616D7"/>
    <w:rsid w:val="00561CD8"/>
    <w:rsid w:val="005629CD"/>
    <w:rsid w:val="005632EC"/>
    <w:rsid w:val="005644C6"/>
    <w:rsid w:val="00564A8E"/>
    <w:rsid w:val="005669B4"/>
    <w:rsid w:val="00566E9F"/>
    <w:rsid w:val="0056749B"/>
    <w:rsid w:val="00567990"/>
    <w:rsid w:val="00570259"/>
    <w:rsid w:val="00570456"/>
    <w:rsid w:val="00570CB8"/>
    <w:rsid w:val="005752A9"/>
    <w:rsid w:val="005771DB"/>
    <w:rsid w:val="005802CD"/>
    <w:rsid w:val="00580FCC"/>
    <w:rsid w:val="00581B5C"/>
    <w:rsid w:val="00581FBF"/>
    <w:rsid w:val="00582490"/>
    <w:rsid w:val="00582E85"/>
    <w:rsid w:val="005832FE"/>
    <w:rsid w:val="00584461"/>
    <w:rsid w:val="00585040"/>
    <w:rsid w:val="005859A7"/>
    <w:rsid w:val="005862CF"/>
    <w:rsid w:val="005867A2"/>
    <w:rsid w:val="00587100"/>
    <w:rsid w:val="00587BEC"/>
    <w:rsid w:val="00590876"/>
    <w:rsid w:val="00590EEF"/>
    <w:rsid w:val="0059159C"/>
    <w:rsid w:val="0059183C"/>
    <w:rsid w:val="00593911"/>
    <w:rsid w:val="00593CBB"/>
    <w:rsid w:val="00593E7F"/>
    <w:rsid w:val="00594E87"/>
    <w:rsid w:val="0059586D"/>
    <w:rsid w:val="005958CD"/>
    <w:rsid w:val="005968D5"/>
    <w:rsid w:val="005974F8"/>
    <w:rsid w:val="00597E85"/>
    <w:rsid w:val="005A00D9"/>
    <w:rsid w:val="005A0A03"/>
    <w:rsid w:val="005A34CE"/>
    <w:rsid w:val="005A461B"/>
    <w:rsid w:val="005A4A7B"/>
    <w:rsid w:val="005A52AD"/>
    <w:rsid w:val="005A5932"/>
    <w:rsid w:val="005A6541"/>
    <w:rsid w:val="005A6717"/>
    <w:rsid w:val="005A70AA"/>
    <w:rsid w:val="005B12D2"/>
    <w:rsid w:val="005B2BAF"/>
    <w:rsid w:val="005B2D0F"/>
    <w:rsid w:val="005B2EA6"/>
    <w:rsid w:val="005B3036"/>
    <w:rsid w:val="005B3BA3"/>
    <w:rsid w:val="005B403F"/>
    <w:rsid w:val="005B4162"/>
    <w:rsid w:val="005B4C3F"/>
    <w:rsid w:val="005B4C59"/>
    <w:rsid w:val="005B5269"/>
    <w:rsid w:val="005B58FA"/>
    <w:rsid w:val="005C0E45"/>
    <w:rsid w:val="005C10C0"/>
    <w:rsid w:val="005C2AED"/>
    <w:rsid w:val="005C6153"/>
    <w:rsid w:val="005C65BA"/>
    <w:rsid w:val="005C6B49"/>
    <w:rsid w:val="005C78BE"/>
    <w:rsid w:val="005D00CE"/>
    <w:rsid w:val="005D0840"/>
    <w:rsid w:val="005D09B1"/>
    <w:rsid w:val="005D1A38"/>
    <w:rsid w:val="005D1C06"/>
    <w:rsid w:val="005D1E75"/>
    <w:rsid w:val="005D30A0"/>
    <w:rsid w:val="005D4BF1"/>
    <w:rsid w:val="005D509A"/>
    <w:rsid w:val="005D6234"/>
    <w:rsid w:val="005D6288"/>
    <w:rsid w:val="005D6523"/>
    <w:rsid w:val="005D6813"/>
    <w:rsid w:val="005D76D6"/>
    <w:rsid w:val="005E02FA"/>
    <w:rsid w:val="005E0635"/>
    <w:rsid w:val="005E0934"/>
    <w:rsid w:val="005E2701"/>
    <w:rsid w:val="005E4539"/>
    <w:rsid w:val="005E4890"/>
    <w:rsid w:val="005E4CB0"/>
    <w:rsid w:val="005E4D2B"/>
    <w:rsid w:val="005E545F"/>
    <w:rsid w:val="005E6220"/>
    <w:rsid w:val="005E65EC"/>
    <w:rsid w:val="005E6E4B"/>
    <w:rsid w:val="005E7B32"/>
    <w:rsid w:val="005F0046"/>
    <w:rsid w:val="005F1A9E"/>
    <w:rsid w:val="005F1B25"/>
    <w:rsid w:val="005F2E4F"/>
    <w:rsid w:val="005F3233"/>
    <w:rsid w:val="005F3F3B"/>
    <w:rsid w:val="005F5AFD"/>
    <w:rsid w:val="005F6A24"/>
    <w:rsid w:val="005F6F31"/>
    <w:rsid w:val="006004D7"/>
    <w:rsid w:val="00600CB1"/>
    <w:rsid w:val="00600E3B"/>
    <w:rsid w:val="00602C9E"/>
    <w:rsid w:val="00604983"/>
    <w:rsid w:val="00604EA7"/>
    <w:rsid w:val="00605735"/>
    <w:rsid w:val="006072DD"/>
    <w:rsid w:val="0060738A"/>
    <w:rsid w:val="00611D2E"/>
    <w:rsid w:val="0061218B"/>
    <w:rsid w:val="00612C20"/>
    <w:rsid w:val="00613313"/>
    <w:rsid w:val="00615A64"/>
    <w:rsid w:val="00615C5D"/>
    <w:rsid w:val="00617564"/>
    <w:rsid w:val="00620C55"/>
    <w:rsid w:val="00621DEF"/>
    <w:rsid w:val="00622352"/>
    <w:rsid w:val="00622647"/>
    <w:rsid w:val="00624A94"/>
    <w:rsid w:val="00625726"/>
    <w:rsid w:val="006259F7"/>
    <w:rsid w:val="006269C4"/>
    <w:rsid w:val="00627067"/>
    <w:rsid w:val="006275CB"/>
    <w:rsid w:val="0063122F"/>
    <w:rsid w:val="006314BB"/>
    <w:rsid w:val="006327EB"/>
    <w:rsid w:val="00632EC1"/>
    <w:rsid w:val="006344BF"/>
    <w:rsid w:val="00636033"/>
    <w:rsid w:val="0063679E"/>
    <w:rsid w:val="006368DD"/>
    <w:rsid w:val="00637879"/>
    <w:rsid w:val="00637A0A"/>
    <w:rsid w:val="00637EFA"/>
    <w:rsid w:val="00640CB9"/>
    <w:rsid w:val="00641ACB"/>
    <w:rsid w:val="00641B55"/>
    <w:rsid w:val="00642B77"/>
    <w:rsid w:val="00643F6C"/>
    <w:rsid w:val="0064408F"/>
    <w:rsid w:val="00645CF5"/>
    <w:rsid w:val="0064712F"/>
    <w:rsid w:val="006475FA"/>
    <w:rsid w:val="006502FC"/>
    <w:rsid w:val="00650362"/>
    <w:rsid w:val="00651F33"/>
    <w:rsid w:val="006521CB"/>
    <w:rsid w:val="00652A40"/>
    <w:rsid w:val="0065358A"/>
    <w:rsid w:val="006535A8"/>
    <w:rsid w:val="006535D2"/>
    <w:rsid w:val="00654677"/>
    <w:rsid w:val="00655B6B"/>
    <w:rsid w:val="00655C87"/>
    <w:rsid w:val="00655EB6"/>
    <w:rsid w:val="00656CB8"/>
    <w:rsid w:val="00657A37"/>
    <w:rsid w:val="00660F1E"/>
    <w:rsid w:val="00661747"/>
    <w:rsid w:val="006626A8"/>
    <w:rsid w:val="00662F43"/>
    <w:rsid w:val="00663226"/>
    <w:rsid w:val="00663645"/>
    <w:rsid w:val="0066527E"/>
    <w:rsid w:val="006660A3"/>
    <w:rsid w:val="0067008B"/>
    <w:rsid w:val="006709C3"/>
    <w:rsid w:val="00671CFF"/>
    <w:rsid w:val="006725D3"/>
    <w:rsid w:val="00672A3D"/>
    <w:rsid w:val="00672D10"/>
    <w:rsid w:val="00672E6E"/>
    <w:rsid w:val="00672FA6"/>
    <w:rsid w:val="0067475E"/>
    <w:rsid w:val="00675BF5"/>
    <w:rsid w:val="006770E6"/>
    <w:rsid w:val="0067717C"/>
    <w:rsid w:val="00677B9C"/>
    <w:rsid w:val="00680024"/>
    <w:rsid w:val="006800C0"/>
    <w:rsid w:val="006807F8"/>
    <w:rsid w:val="0068176F"/>
    <w:rsid w:val="006821FB"/>
    <w:rsid w:val="00682C15"/>
    <w:rsid w:val="00682D0B"/>
    <w:rsid w:val="00683177"/>
    <w:rsid w:val="006834CE"/>
    <w:rsid w:val="00683B01"/>
    <w:rsid w:val="00685968"/>
    <w:rsid w:val="00685E43"/>
    <w:rsid w:val="0068601A"/>
    <w:rsid w:val="00686289"/>
    <w:rsid w:val="006909EA"/>
    <w:rsid w:val="00690A7C"/>
    <w:rsid w:val="00690F68"/>
    <w:rsid w:val="006926C0"/>
    <w:rsid w:val="0069405B"/>
    <w:rsid w:val="006943DD"/>
    <w:rsid w:val="006949C9"/>
    <w:rsid w:val="0069518E"/>
    <w:rsid w:val="006956EC"/>
    <w:rsid w:val="00695AA7"/>
    <w:rsid w:val="006974F4"/>
    <w:rsid w:val="0069768C"/>
    <w:rsid w:val="006977D3"/>
    <w:rsid w:val="00697884"/>
    <w:rsid w:val="006A0D35"/>
    <w:rsid w:val="006A16F9"/>
    <w:rsid w:val="006A1B84"/>
    <w:rsid w:val="006A1D5A"/>
    <w:rsid w:val="006A1DD0"/>
    <w:rsid w:val="006A2C3C"/>
    <w:rsid w:val="006A2E32"/>
    <w:rsid w:val="006A32E7"/>
    <w:rsid w:val="006A3C1C"/>
    <w:rsid w:val="006A3CBD"/>
    <w:rsid w:val="006A441C"/>
    <w:rsid w:val="006A5025"/>
    <w:rsid w:val="006A5460"/>
    <w:rsid w:val="006A54B0"/>
    <w:rsid w:val="006A5BCC"/>
    <w:rsid w:val="006B1963"/>
    <w:rsid w:val="006B232A"/>
    <w:rsid w:val="006B28EE"/>
    <w:rsid w:val="006B29CF"/>
    <w:rsid w:val="006B32F0"/>
    <w:rsid w:val="006B3D12"/>
    <w:rsid w:val="006B5709"/>
    <w:rsid w:val="006B6316"/>
    <w:rsid w:val="006B648E"/>
    <w:rsid w:val="006B649C"/>
    <w:rsid w:val="006B662E"/>
    <w:rsid w:val="006C0890"/>
    <w:rsid w:val="006C155B"/>
    <w:rsid w:val="006C1625"/>
    <w:rsid w:val="006C1D4F"/>
    <w:rsid w:val="006C21FA"/>
    <w:rsid w:val="006C316B"/>
    <w:rsid w:val="006C3502"/>
    <w:rsid w:val="006C35A2"/>
    <w:rsid w:val="006C3CD1"/>
    <w:rsid w:val="006C53E1"/>
    <w:rsid w:val="006C6BBD"/>
    <w:rsid w:val="006C7808"/>
    <w:rsid w:val="006C7865"/>
    <w:rsid w:val="006C7EB0"/>
    <w:rsid w:val="006D10BF"/>
    <w:rsid w:val="006D1174"/>
    <w:rsid w:val="006D198D"/>
    <w:rsid w:val="006D2AE2"/>
    <w:rsid w:val="006D2FFF"/>
    <w:rsid w:val="006D3A3F"/>
    <w:rsid w:val="006D3B43"/>
    <w:rsid w:val="006D5576"/>
    <w:rsid w:val="006D5912"/>
    <w:rsid w:val="006D5C99"/>
    <w:rsid w:val="006D696E"/>
    <w:rsid w:val="006D7255"/>
    <w:rsid w:val="006D7661"/>
    <w:rsid w:val="006D7A33"/>
    <w:rsid w:val="006E0356"/>
    <w:rsid w:val="006E0EF3"/>
    <w:rsid w:val="006E1999"/>
    <w:rsid w:val="006E1D94"/>
    <w:rsid w:val="006E43EA"/>
    <w:rsid w:val="006E72AB"/>
    <w:rsid w:val="006E7347"/>
    <w:rsid w:val="006E77FE"/>
    <w:rsid w:val="006F047F"/>
    <w:rsid w:val="006F10C7"/>
    <w:rsid w:val="006F1275"/>
    <w:rsid w:val="006F236E"/>
    <w:rsid w:val="006F284E"/>
    <w:rsid w:val="006F59DD"/>
    <w:rsid w:val="006F63AC"/>
    <w:rsid w:val="006F6E05"/>
    <w:rsid w:val="006F7402"/>
    <w:rsid w:val="006F7EF9"/>
    <w:rsid w:val="006F7F71"/>
    <w:rsid w:val="00700237"/>
    <w:rsid w:val="0070054F"/>
    <w:rsid w:val="00700571"/>
    <w:rsid w:val="007006C9"/>
    <w:rsid w:val="00702D41"/>
    <w:rsid w:val="00703A22"/>
    <w:rsid w:val="00703C4B"/>
    <w:rsid w:val="0070475C"/>
    <w:rsid w:val="00706655"/>
    <w:rsid w:val="007067EE"/>
    <w:rsid w:val="00706C1B"/>
    <w:rsid w:val="0070728C"/>
    <w:rsid w:val="00707BB9"/>
    <w:rsid w:val="00711750"/>
    <w:rsid w:val="00711BD5"/>
    <w:rsid w:val="00712227"/>
    <w:rsid w:val="00713B12"/>
    <w:rsid w:val="0071445D"/>
    <w:rsid w:val="00715969"/>
    <w:rsid w:val="007163E2"/>
    <w:rsid w:val="0071796C"/>
    <w:rsid w:val="00717D6C"/>
    <w:rsid w:val="00721CBC"/>
    <w:rsid w:val="00721F96"/>
    <w:rsid w:val="00723341"/>
    <w:rsid w:val="007242A1"/>
    <w:rsid w:val="00724868"/>
    <w:rsid w:val="00724C3B"/>
    <w:rsid w:val="00726EFB"/>
    <w:rsid w:val="00730041"/>
    <w:rsid w:val="00730602"/>
    <w:rsid w:val="00730A60"/>
    <w:rsid w:val="00732FA6"/>
    <w:rsid w:val="00734AEC"/>
    <w:rsid w:val="00735AED"/>
    <w:rsid w:val="00735DB3"/>
    <w:rsid w:val="00737637"/>
    <w:rsid w:val="007402F5"/>
    <w:rsid w:val="00741900"/>
    <w:rsid w:val="007424A7"/>
    <w:rsid w:val="0074257F"/>
    <w:rsid w:val="007433AB"/>
    <w:rsid w:val="00743B7B"/>
    <w:rsid w:val="00745717"/>
    <w:rsid w:val="00745DEB"/>
    <w:rsid w:val="0074624B"/>
    <w:rsid w:val="007465E4"/>
    <w:rsid w:val="007472D8"/>
    <w:rsid w:val="00747EEC"/>
    <w:rsid w:val="00750561"/>
    <w:rsid w:val="00750977"/>
    <w:rsid w:val="00751ECC"/>
    <w:rsid w:val="00753920"/>
    <w:rsid w:val="00754A11"/>
    <w:rsid w:val="00755317"/>
    <w:rsid w:val="00755770"/>
    <w:rsid w:val="0075655F"/>
    <w:rsid w:val="00756E1C"/>
    <w:rsid w:val="00757080"/>
    <w:rsid w:val="00757A26"/>
    <w:rsid w:val="00760F8D"/>
    <w:rsid w:val="00761572"/>
    <w:rsid w:val="00762198"/>
    <w:rsid w:val="00762CC2"/>
    <w:rsid w:val="00763099"/>
    <w:rsid w:val="007636FB"/>
    <w:rsid w:val="00763952"/>
    <w:rsid w:val="0076398C"/>
    <w:rsid w:val="007641FE"/>
    <w:rsid w:val="00764D14"/>
    <w:rsid w:val="00766E5D"/>
    <w:rsid w:val="00770DBD"/>
    <w:rsid w:val="00770DE8"/>
    <w:rsid w:val="00771585"/>
    <w:rsid w:val="00772343"/>
    <w:rsid w:val="007723EA"/>
    <w:rsid w:val="00772BAF"/>
    <w:rsid w:val="00772E0F"/>
    <w:rsid w:val="0077330D"/>
    <w:rsid w:val="00775BEC"/>
    <w:rsid w:val="0077768B"/>
    <w:rsid w:val="00777A80"/>
    <w:rsid w:val="007807FF"/>
    <w:rsid w:val="007826A5"/>
    <w:rsid w:val="00783094"/>
    <w:rsid w:val="00783334"/>
    <w:rsid w:val="00783E90"/>
    <w:rsid w:val="00785062"/>
    <w:rsid w:val="00786A11"/>
    <w:rsid w:val="00786E02"/>
    <w:rsid w:val="0078714F"/>
    <w:rsid w:val="007877BF"/>
    <w:rsid w:val="00787E26"/>
    <w:rsid w:val="0079049E"/>
    <w:rsid w:val="00791914"/>
    <w:rsid w:val="00792AA8"/>
    <w:rsid w:val="007934BC"/>
    <w:rsid w:val="007937A2"/>
    <w:rsid w:val="00793994"/>
    <w:rsid w:val="00793E58"/>
    <w:rsid w:val="00793ED6"/>
    <w:rsid w:val="00793F2B"/>
    <w:rsid w:val="00794439"/>
    <w:rsid w:val="0079597D"/>
    <w:rsid w:val="00795CD2"/>
    <w:rsid w:val="007973CA"/>
    <w:rsid w:val="007A03ED"/>
    <w:rsid w:val="007A17B4"/>
    <w:rsid w:val="007A1C02"/>
    <w:rsid w:val="007A2797"/>
    <w:rsid w:val="007A2802"/>
    <w:rsid w:val="007A3A20"/>
    <w:rsid w:val="007A521B"/>
    <w:rsid w:val="007A5ABF"/>
    <w:rsid w:val="007A62E5"/>
    <w:rsid w:val="007A7015"/>
    <w:rsid w:val="007A7ABF"/>
    <w:rsid w:val="007B021D"/>
    <w:rsid w:val="007B0506"/>
    <w:rsid w:val="007B0695"/>
    <w:rsid w:val="007B0FED"/>
    <w:rsid w:val="007B201B"/>
    <w:rsid w:val="007B273B"/>
    <w:rsid w:val="007B2C96"/>
    <w:rsid w:val="007B412C"/>
    <w:rsid w:val="007B4196"/>
    <w:rsid w:val="007B5292"/>
    <w:rsid w:val="007B5721"/>
    <w:rsid w:val="007B6898"/>
    <w:rsid w:val="007B7860"/>
    <w:rsid w:val="007C0212"/>
    <w:rsid w:val="007C1837"/>
    <w:rsid w:val="007C2563"/>
    <w:rsid w:val="007C3095"/>
    <w:rsid w:val="007C36E9"/>
    <w:rsid w:val="007C374E"/>
    <w:rsid w:val="007C4E7D"/>
    <w:rsid w:val="007C4EC0"/>
    <w:rsid w:val="007C60A9"/>
    <w:rsid w:val="007C6D13"/>
    <w:rsid w:val="007C712B"/>
    <w:rsid w:val="007C7327"/>
    <w:rsid w:val="007D067D"/>
    <w:rsid w:val="007D0D9E"/>
    <w:rsid w:val="007D1880"/>
    <w:rsid w:val="007D1CF3"/>
    <w:rsid w:val="007D20B2"/>
    <w:rsid w:val="007D2DE8"/>
    <w:rsid w:val="007D4545"/>
    <w:rsid w:val="007D4601"/>
    <w:rsid w:val="007D488C"/>
    <w:rsid w:val="007D54AE"/>
    <w:rsid w:val="007D5E57"/>
    <w:rsid w:val="007D64DD"/>
    <w:rsid w:val="007D758E"/>
    <w:rsid w:val="007D793F"/>
    <w:rsid w:val="007E0DD3"/>
    <w:rsid w:val="007E1B77"/>
    <w:rsid w:val="007E20ED"/>
    <w:rsid w:val="007E24B1"/>
    <w:rsid w:val="007E28C7"/>
    <w:rsid w:val="007E29E6"/>
    <w:rsid w:val="007E2BED"/>
    <w:rsid w:val="007E3580"/>
    <w:rsid w:val="007E4EA6"/>
    <w:rsid w:val="007E5073"/>
    <w:rsid w:val="007E55EE"/>
    <w:rsid w:val="007E5B0C"/>
    <w:rsid w:val="007E6435"/>
    <w:rsid w:val="007E6AFE"/>
    <w:rsid w:val="007E7A76"/>
    <w:rsid w:val="007E7ADE"/>
    <w:rsid w:val="007F0BBF"/>
    <w:rsid w:val="007F148B"/>
    <w:rsid w:val="007F1CB0"/>
    <w:rsid w:val="007F2194"/>
    <w:rsid w:val="007F270B"/>
    <w:rsid w:val="007F36CE"/>
    <w:rsid w:val="007F3BF2"/>
    <w:rsid w:val="007F537A"/>
    <w:rsid w:val="007F5DC7"/>
    <w:rsid w:val="007F6FBB"/>
    <w:rsid w:val="007F76B3"/>
    <w:rsid w:val="008000F0"/>
    <w:rsid w:val="00800521"/>
    <w:rsid w:val="00800BC1"/>
    <w:rsid w:val="008012B8"/>
    <w:rsid w:val="00801434"/>
    <w:rsid w:val="008024F9"/>
    <w:rsid w:val="00804695"/>
    <w:rsid w:val="00805CC2"/>
    <w:rsid w:val="00805CD2"/>
    <w:rsid w:val="00806F6F"/>
    <w:rsid w:val="00812211"/>
    <w:rsid w:val="00812370"/>
    <w:rsid w:val="008154F7"/>
    <w:rsid w:val="00815A2C"/>
    <w:rsid w:val="0081606E"/>
    <w:rsid w:val="008165A0"/>
    <w:rsid w:val="0081697B"/>
    <w:rsid w:val="0082089F"/>
    <w:rsid w:val="00821396"/>
    <w:rsid w:val="0082325C"/>
    <w:rsid w:val="00830C85"/>
    <w:rsid w:val="0083128F"/>
    <w:rsid w:val="00832987"/>
    <w:rsid w:val="00833557"/>
    <w:rsid w:val="008337E0"/>
    <w:rsid w:val="0083512F"/>
    <w:rsid w:val="008351B8"/>
    <w:rsid w:val="008352EE"/>
    <w:rsid w:val="00835CCF"/>
    <w:rsid w:val="0083673B"/>
    <w:rsid w:val="00837504"/>
    <w:rsid w:val="00837AF9"/>
    <w:rsid w:val="0084099A"/>
    <w:rsid w:val="00840E55"/>
    <w:rsid w:val="0084183F"/>
    <w:rsid w:val="008423FA"/>
    <w:rsid w:val="00842E73"/>
    <w:rsid w:val="008430DD"/>
    <w:rsid w:val="00843B2F"/>
    <w:rsid w:val="008442D1"/>
    <w:rsid w:val="008443D7"/>
    <w:rsid w:val="00844C15"/>
    <w:rsid w:val="00845140"/>
    <w:rsid w:val="00845857"/>
    <w:rsid w:val="00845FA7"/>
    <w:rsid w:val="0084676C"/>
    <w:rsid w:val="0084717F"/>
    <w:rsid w:val="008474EC"/>
    <w:rsid w:val="00847578"/>
    <w:rsid w:val="00847DF0"/>
    <w:rsid w:val="00850365"/>
    <w:rsid w:val="00851BB0"/>
    <w:rsid w:val="00852776"/>
    <w:rsid w:val="008529DC"/>
    <w:rsid w:val="00852E16"/>
    <w:rsid w:val="00853998"/>
    <w:rsid w:val="00854BAA"/>
    <w:rsid w:val="00855726"/>
    <w:rsid w:val="00855BDF"/>
    <w:rsid w:val="00855D22"/>
    <w:rsid w:val="008563A1"/>
    <w:rsid w:val="00857383"/>
    <w:rsid w:val="00861217"/>
    <w:rsid w:val="00861FD2"/>
    <w:rsid w:val="008620EA"/>
    <w:rsid w:val="00862FBA"/>
    <w:rsid w:val="00863758"/>
    <w:rsid w:val="00863FE3"/>
    <w:rsid w:val="0086449B"/>
    <w:rsid w:val="008653D6"/>
    <w:rsid w:val="00866A6A"/>
    <w:rsid w:val="0086745C"/>
    <w:rsid w:val="0087265B"/>
    <w:rsid w:val="008726EC"/>
    <w:rsid w:val="00875718"/>
    <w:rsid w:val="00875781"/>
    <w:rsid w:val="00876C23"/>
    <w:rsid w:val="00876DF5"/>
    <w:rsid w:val="008771D6"/>
    <w:rsid w:val="008775C8"/>
    <w:rsid w:val="00877A23"/>
    <w:rsid w:val="00880155"/>
    <w:rsid w:val="00880456"/>
    <w:rsid w:val="00880D2E"/>
    <w:rsid w:val="008810F4"/>
    <w:rsid w:val="00881BF4"/>
    <w:rsid w:val="00881EE3"/>
    <w:rsid w:val="0088217E"/>
    <w:rsid w:val="00885122"/>
    <w:rsid w:val="00885265"/>
    <w:rsid w:val="00885827"/>
    <w:rsid w:val="008904C9"/>
    <w:rsid w:val="008917F3"/>
    <w:rsid w:val="0089233B"/>
    <w:rsid w:val="00892E7D"/>
    <w:rsid w:val="00893C19"/>
    <w:rsid w:val="00893C52"/>
    <w:rsid w:val="0089466B"/>
    <w:rsid w:val="00894774"/>
    <w:rsid w:val="00895242"/>
    <w:rsid w:val="00895E45"/>
    <w:rsid w:val="008961BF"/>
    <w:rsid w:val="00897BBF"/>
    <w:rsid w:val="008A09D4"/>
    <w:rsid w:val="008A1F7D"/>
    <w:rsid w:val="008A1F89"/>
    <w:rsid w:val="008A2144"/>
    <w:rsid w:val="008A22A2"/>
    <w:rsid w:val="008A2738"/>
    <w:rsid w:val="008A2810"/>
    <w:rsid w:val="008A450E"/>
    <w:rsid w:val="008A459E"/>
    <w:rsid w:val="008A4982"/>
    <w:rsid w:val="008A4E9F"/>
    <w:rsid w:val="008A59B9"/>
    <w:rsid w:val="008A60EA"/>
    <w:rsid w:val="008A697C"/>
    <w:rsid w:val="008A7254"/>
    <w:rsid w:val="008A7C80"/>
    <w:rsid w:val="008B06C5"/>
    <w:rsid w:val="008B0A0E"/>
    <w:rsid w:val="008B0BD2"/>
    <w:rsid w:val="008B141C"/>
    <w:rsid w:val="008B16CE"/>
    <w:rsid w:val="008B2C3C"/>
    <w:rsid w:val="008B5597"/>
    <w:rsid w:val="008B5764"/>
    <w:rsid w:val="008B76F2"/>
    <w:rsid w:val="008B78A7"/>
    <w:rsid w:val="008B7904"/>
    <w:rsid w:val="008C0F2A"/>
    <w:rsid w:val="008C1A1D"/>
    <w:rsid w:val="008C3EA3"/>
    <w:rsid w:val="008C3EE4"/>
    <w:rsid w:val="008C58E2"/>
    <w:rsid w:val="008C610D"/>
    <w:rsid w:val="008C63A8"/>
    <w:rsid w:val="008C6DCC"/>
    <w:rsid w:val="008C743A"/>
    <w:rsid w:val="008D01C6"/>
    <w:rsid w:val="008D0A8A"/>
    <w:rsid w:val="008D106A"/>
    <w:rsid w:val="008D17E3"/>
    <w:rsid w:val="008D18E5"/>
    <w:rsid w:val="008D2456"/>
    <w:rsid w:val="008D24F0"/>
    <w:rsid w:val="008D2890"/>
    <w:rsid w:val="008D424C"/>
    <w:rsid w:val="008D4F70"/>
    <w:rsid w:val="008D5F1D"/>
    <w:rsid w:val="008D6C64"/>
    <w:rsid w:val="008D723A"/>
    <w:rsid w:val="008E176D"/>
    <w:rsid w:val="008E17FD"/>
    <w:rsid w:val="008E1CC3"/>
    <w:rsid w:val="008E23BE"/>
    <w:rsid w:val="008E3613"/>
    <w:rsid w:val="008E3DAE"/>
    <w:rsid w:val="008E41A9"/>
    <w:rsid w:val="008E434A"/>
    <w:rsid w:val="008E4B84"/>
    <w:rsid w:val="008E5B7C"/>
    <w:rsid w:val="008F047D"/>
    <w:rsid w:val="008F0901"/>
    <w:rsid w:val="008F0C39"/>
    <w:rsid w:val="008F1CE1"/>
    <w:rsid w:val="008F2278"/>
    <w:rsid w:val="008F2E54"/>
    <w:rsid w:val="008F2FB0"/>
    <w:rsid w:val="008F3BAE"/>
    <w:rsid w:val="008F3F79"/>
    <w:rsid w:val="008F4049"/>
    <w:rsid w:val="008F62F5"/>
    <w:rsid w:val="008F63A8"/>
    <w:rsid w:val="008F6465"/>
    <w:rsid w:val="008F747A"/>
    <w:rsid w:val="00900D9D"/>
    <w:rsid w:val="009020EB"/>
    <w:rsid w:val="009028AF"/>
    <w:rsid w:val="00903B61"/>
    <w:rsid w:val="009055B3"/>
    <w:rsid w:val="00906A85"/>
    <w:rsid w:val="00907765"/>
    <w:rsid w:val="00913489"/>
    <w:rsid w:val="0091367B"/>
    <w:rsid w:val="009143A9"/>
    <w:rsid w:val="009145F1"/>
    <w:rsid w:val="009161AB"/>
    <w:rsid w:val="009166C2"/>
    <w:rsid w:val="00916945"/>
    <w:rsid w:val="009173A4"/>
    <w:rsid w:val="00921230"/>
    <w:rsid w:val="00922B12"/>
    <w:rsid w:val="00922C66"/>
    <w:rsid w:val="009241F4"/>
    <w:rsid w:val="0092548C"/>
    <w:rsid w:val="00926DD1"/>
    <w:rsid w:val="00926E5B"/>
    <w:rsid w:val="00927029"/>
    <w:rsid w:val="009272EF"/>
    <w:rsid w:val="009277A3"/>
    <w:rsid w:val="00931839"/>
    <w:rsid w:val="00931B79"/>
    <w:rsid w:val="0093208D"/>
    <w:rsid w:val="0093285B"/>
    <w:rsid w:val="00932A46"/>
    <w:rsid w:val="00935313"/>
    <w:rsid w:val="00935FE7"/>
    <w:rsid w:val="0093690B"/>
    <w:rsid w:val="009375F1"/>
    <w:rsid w:val="00937EB7"/>
    <w:rsid w:val="0094024B"/>
    <w:rsid w:val="0094067B"/>
    <w:rsid w:val="00940EA5"/>
    <w:rsid w:val="00940F75"/>
    <w:rsid w:val="00942C3A"/>
    <w:rsid w:val="00943A83"/>
    <w:rsid w:val="009451FD"/>
    <w:rsid w:val="00945288"/>
    <w:rsid w:val="00945546"/>
    <w:rsid w:val="0094584D"/>
    <w:rsid w:val="009460B7"/>
    <w:rsid w:val="0094696D"/>
    <w:rsid w:val="00946ADB"/>
    <w:rsid w:val="00947D8B"/>
    <w:rsid w:val="009504DF"/>
    <w:rsid w:val="009507EC"/>
    <w:rsid w:val="00950895"/>
    <w:rsid w:val="00950AE8"/>
    <w:rsid w:val="00950BD7"/>
    <w:rsid w:val="009516A5"/>
    <w:rsid w:val="00951E2D"/>
    <w:rsid w:val="00952616"/>
    <w:rsid w:val="00953BF7"/>
    <w:rsid w:val="009547C3"/>
    <w:rsid w:val="00954BF1"/>
    <w:rsid w:val="00954D24"/>
    <w:rsid w:val="00954ECA"/>
    <w:rsid w:val="009554B9"/>
    <w:rsid w:val="0095605B"/>
    <w:rsid w:val="009561EA"/>
    <w:rsid w:val="00956BEF"/>
    <w:rsid w:val="00956C4D"/>
    <w:rsid w:val="009602B3"/>
    <w:rsid w:val="0096040A"/>
    <w:rsid w:val="00960D6A"/>
    <w:rsid w:val="00960FCC"/>
    <w:rsid w:val="009628EF"/>
    <w:rsid w:val="00963002"/>
    <w:rsid w:val="009638E3"/>
    <w:rsid w:val="0096415D"/>
    <w:rsid w:val="009651A4"/>
    <w:rsid w:val="00965702"/>
    <w:rsid w:val="00965734"/>
    <w:rsid w:val="009657F0"/>
    <w:rsid w:val="00966095"/>
    <w:rsid w:val="0096701B"/>
    <w:rsid w:val="00967A0D"/>
    <w:rsid w:val="0097054A"/>
    <w:rsid w:val="009706B8"/>
    <w:rsid w:val="00970DAB"/>
    <w:rsid w:val="0097147A"/>
    <w:rsid w:val="0097174B"/>
    <w:rsid w:val="00971F28"/>
    <w:rsid w:val="00972C45"/>
    <w:rsid w:val="00972CB3"/>
    <w:rsid w:val="00973A29"/>
    <w:rsid w:val="00974931"/>
    <w:rsid w:val="00975479"/>
    <w:rsid w:val="009755E6"/>
    <w:rsid w:val="009757A3"/>
    <w:rsid w:val="00975AFF"/>
    <w:rsid w:val="009766F2"/>
    <w:rsid w:val="00977F23"/>
    <w:rsid w:val="0098012B"/>
    <w:rsid w:val="0098182F"/>
    <w:rsid w:val="00981E9E"/>
    <w:rsid w:val="009843E4"/>
    <w:rsid w:val="00984917"/>
    <w:rsid w:val="00984F8A"/>
    <w:rsid w:val="00986818"/>
    <w:rsid w:val="00986952"/>
    <w:rsid w:val="00986F0C"/>
    <w:rsid w:val="0098753D"/>
    <w:rsid w:val="009878AB"/>
    <w:rsid w:val="00990188"/>
    <w:rsid w:val="00990271"/>
    <w:rsid w:val="009905FA"/>
    <w:rsid w:val="00990B04"/>
    <w:rsid w:val="00991764"/>
    <w:rsid w:val="009922CA"/>
    <w:rsid w:val="009939A8"/>
    <w:rsid w:val="0099454F"/>
    <w:rsid w:val="009956F4"/>
    <w:rsid w:val="009974E3"/>
    <w:rsid w:val="009A0B0A"/>
    <w:rsid w:val="009A0EA3"/>
    <w:rsid w:val="009A273E"/>
    <w:rsid w:val="009A2A58"/>
    <w:rsid w:val="009A3146"/>
    <w:rsid w:val="009A352E"/>
    <w:rsid w:val="009A3637"/>
    <w:rsid w:val="009A49AD"/>
    <w:rsid w:val="009A4CA3"/>
    <w:rsid w:val="009A570E"/>
    <w:rsid w:val="009A5BD0"/>
    <w:rsid w:val="009A5D2A"/>
    <w:rsid w:val="009A6DAF"/>
    <w:rsid w:val="009A7AE5"/>
    <w:rsid w:val="009B0CF8"/>
    <w:rsid w:val="009B106E"/>
    <w:rsid w:val="009B2AFE"/>
    <w:rsid w:val="009B30E2"/>
    <w:rsid w:val="009B35BF"/>
    <w:rsid w:val="009B43A7"/>
    <w:rsid w:val="009B4D55"/>
    <w:rsid w:val="009B556B"/>
    <w:rsid w:val="009B5AC1"/>
    <w:rsid w:val="009B68FD"/>
    <w:rsid w:val="009B6BE8"/>
    <w:rsid w:val="009B6DB4"/>
    <w:rsid w:val="009C02FD"/>
    <w:rsid w:val="009C1673"/>
    <w:rsid w:val="009C18BA"/>
    <w:rsid w:val="009C1EC6"/>
    <w:rsid w:val="009C20AA"/>
    <w:rsid w:val="009C21F2"/>
    <w:rsid w:val="009C22A3"/>
    <w:rsid w:val="009C334E"/>
    <w:rsid w:val="009C33FE"/>
    <w:rsid w:val="009C3799"/>
    <w:rsid w:val="009C4225"/>
    <w:rsid w:val="009C6343"/>
    <w:rsid w:val="009C71CC"/>
    <w:rsid w:val="009C7303"/>
    <w:rsid w:val="009C73A3"/>
    <w:rsid w:val="009D0B3C"/>
    <w:rsid w:val="009D2B89"/>
    <w:rsid w:val="009D394B"/>
    <w:rsid w:val="009D58D6"/>
    <w:rsid w:val="009D5A6B"/>
    <w:rsid w:val="009D5E57"/>
    <w:rsid w:val="009D5E61"/>
    <w:rsid w:val="009D6170"/>
    <w:rsid w:val="009E1A47"/>
    <w:rsid w:val="009E1AD9"/>
    <w:rsid w:val="009E2116"/>
    <w:rsid w:val="009E2840"/>
    <w:rsid w:val="009E2B58"/>
    <w:rsid w:val="009E351C"/>
    <w:rsid w:val="009E3797"/>
    <w:rsid w:val="009E41F5"/>
    <w:rsid w:val="009E46A8"/>
    <w:rsid w:val="009E6E6C"/>
    <w:rsid w:val="009E72C8"/>
    <w:rsid w:val="009E73A4"/>
    <w:rsid w:val="009E7624"/>
    <w:rsid w:val="009E7AC1"/>
    <w:rsid w:val="009F02E0"/>
    <w:rsid w:val="009F0740"/>
    <w:rsid w:val="009F3872"/>
    <w:rsid w:val="009F3A9C"/>
    <w:rsid w:val="009F44BF"/>
    <w:rsid w:val="009F4AE4"/>
    <w:rsid w:val="009F5597"/>
    <w:rsid w:val="009F5B16"/>
    <w:rsid w:val="009F61C7"/>
    <w:rsid w:val="009F62FB"/>
    <w:rsid w:val="009F7CDF"/>
    <w:rsid w:val="00A000AD"/>
    <w:rsid w:val="00A0018F"/>
    <w:rsid w:val="00A01401"/>
    <w:rsid w:val="00A0185F"/>
    <w:rsid w:val="00A03DA4"/>
    <w:rsid w:val="00A04762"/>
    <w:rsid w:val="00A04B7C"/>
    <w:rsid w:val="00A05117"/>
    <w:rsid w:val="00A05184"/>
    <w:rsid w:val="00A07225"/>
    <w:rsid w:val="00A07D08"/>
    <w:rsid w:val="00A1060D"/>
    <w:rsid w:val="00A10C08"/>
    <w:rsid w:val="00A10F4C"/>
    <w:rsid w:val="00A12856"/>
    <w:rsid w:val="00A13344"/>
    <w:rsid w:val="00A147B6"/>
    <w:rsid w:val="00A14A17"/>
    <w:rsid w:val="00A16CCE"/>
    <w:rsid w:val="00A202AB"/>
    <w:rsid w:val="00A212D6"/>
    <w:rsid w:val="00A21E91"/>
    <w:rsid w:val="00A220F3"/>
    <w:rsid w:val="00A22894"/>
    <w:rsid w:val="00A229A2"/>
    <w:rsid w:val="00A22AAC"/>
    <w:rsid w:val="00A22ED8"/>
    <w:rsid w:val="00A23CC8"/>
    <w:rsid w:val="00A24DE7"/>
    <w:rsid w:val="00A262FC"/>
    <w:rsid w:val="00A270CA"/>
    <w:rsid w:val="00A271F4"/>
    <w:rsid w:val="00A273FD"/>
    <w:rsid w:val="00A27F21"/>
    <w:rsid w:val="00A30B34"/>
    <w:rsid w:val="00A3149B"/>
    <w:rsid w:val="00A314BD"/>
    <w:rsid w:val="00A31E87"/>
    <w:rsid w:val="00A31F81"/>
    <w:rsid w:val="00A324A5"/>
    <w:rsid w:val="00A32672"/>
    <w:rsid w:val="00A33AD0"/>
    <w:rsid w:val="00A34363"/>
    <w:rsid w:val="00A35985"/>
    <w:rsid w:val="00A35D9B"/>
    <w:rsid w:val="00A37380"/>
    <w:rsid w:val="00A414F0"/>
    <w:rsid w:val="00A42BFB"/>
    <w:rsid w:val="00A4430E"/>
    <w:rsid w:val="00A44CFC"/>
    <w:rsid w:val="00A4550A"/>
    <w:rsid w:val="00A459B4"/>
    <w:rsid w:val="00A45A2B"/>
    <w:rsid w:val="00A45ABA"/>
    <w:rsid w:val="00A45B12"/>
    <w:rsid w:val="00A46DA8"/>
    <w:rsid w:val="00A47628"/>
    <w:rsid w:val="00A47984"/>
    <w:rsid w:val="00A5034D"/>
    <w:rsid w:val="00A526F0"/>
    <w:rsid w:val="00A530B5"/>
    <w:rsid w:val="00A5492E"/>
    <w:rsid w:val="00A54B31"/>
    <w:rsid w:val="00A54D04"/>
    <w:rsid w:val="00A54FC5"/>
    <w:rsid w:val="00A55031"/>
    <w:rsid w:val="00A55090"/>
    <w:rsid w:val="00A55588"/>
    <w:rsid w:val="00A55A35"/>
    <w:rsid w:val="00A56544"/>
    <w:rsid w:val="00A57305"/>
    <w:rsid w:val="00A6147B"/>
    <w:rsid w:val="00A6182B"/>
    <w:rsid w:val="00A63D8A"/>
    <w:rsid w:val="00A63DDA"/>
    <w:rsid w:val="00A64F19"/>
    <w:rsid w:val="00A663BB"/>
    <w:rsid w:val="00A6764F"/>
    <w:rsid w:val="00A67DD5"/>
    <w:rsid w:val="00A706BA"/>
    <w:rsid w:val="00A71EA6"/>
    <w:rsid w:val="00A723DE"/>
    <w:rsid w:val="00A729E2"/>
    <w:rsid w:val="00A72C2F"/>
    <w:rsid w:val="00A73006"/>
    <w:rsid w:val="00A7510E"/>
    <w:rsid w:val="00A76D7A"/>
    <w:rsid w:val="00A77483"/>
    <w:rsid w:val="00A77895"/>
    <w:rsid w:val="00A77C8E"/>
    <w:rsid w:val="00A80909"/>
    <w:rsid w:val="00A82227"/>
    <w:rsid w:val="00A83DDC"/>
    <w:rsid w:val="00A850EC"/>
    <w:rsid w:val="00A853C9"/>
    <w:rsid w:val="00A86CD1"/>
    <w:rsid w:val="00A86CDA"/>
    <w:rsid w:val="00A87210"/>
    <w:rsid w:val="00A87380"/>
    <w:rsid w:val="00A87812"/>
    <w:rsid w:val="00A87F72"/>
    <w:rsid w:val="00A902BA"/>
    <w:rsid w:val="00A90864"/>
    <w:rsid w:val="00A928BC"/>
    <w:rsid w:val="00A92B50"/>
    <w:rsid w:val="00A933DE"/>
    <w:rsid w:val="00A93996"/>
    <w:rsid w:val="00A94348"/>
    <w:rsid w:val="00A954CA"/>
    <w:rsid w:val="00A955FD"/>
    <w:rsid w:val="00A95FCF"/>
    <w:rsid w:val="00A96E9D"/>
    <w:rsid w:val="00A97720"/>
    <w:rsid w:val="00AA0926"/>
    <w:rsid w:val="00AA0B2D"/>
    <w:rsid w:val="00AA139C"/>
    <w:rsid w:val="00AA1F95"/>
    <w:rsid w:val="00AA2048"/>
    <w:rsid w:val="00AA4402"/>
    <w:rsid w:val="00AA4A00"/>
    <w:rsid w:val="00AA4F12"/>
    <w:rsid w:val="00AA5BF0"/>
    <w:rsid w:val="00AA62A0"/>
    <w:rsid w:val="00AB13F6"/>
    <w:rsid w:val="00AB3428"/>
    <w:rsid w:val="00AB364A"/>
    <w:rsid w:val="00AB3BBF"/>
    <w:rsid w:val="00AB3CCC"/>
    <w:rsid w:val="00AB3E03"/>
    <w:rsid w:val="00AB53A8"/>
    <w:rsid w:val="00AB5AEC"/>
    <w:rsid w:val="00AB5E86"/>
    <w:rsid w:val="00AB6069"/>
    <w:rsid w:val="00AB7044"/>
    <w:rsid w:val="00AB75A3"/>
    <w:rsid w:val="00AB7FB6"/>
    <w:rsid w:val="00AC05F8"/>
    <w:rsid w:val="00AC117A"/>
    <w:rsid w:val="00AC1D2C"/>
    <w:rsid w:val="00AC2026"/>
    <w:rsid w:val="00AC3A15"/>
    <w:rsid w:val="00AC6478"/>
    <w:rsid w:val="00AC73F4"/>
    <w:rsid w:val="00AC755B"/>
    <w:rsid w:val="00AC79C2"/>
    <w:rsid w:val="00AD081E"/>
    <w:rsid w:val="00AD0A97"/>
    <w:rsid w:val="00AD0DDC"/>
    <w:rsid w:val="00AD14F0"/>
    <w:rsid w:val="00AD1A9A"/>
    <w:rsid w:val="00AD1F2C"/>
    <w:rsid w:val="00AD223D"/>
    <w:rsid w:val="00AD53E7"/>
    <w:rsid w:val="00AE0E1E"/>
    <w:rsid w:val="00AE1084"/>
    <w:rsid w:val="00AE3AA7"/>
    <w:rsid w:val="00AE4166"/>
    <w:rsid w:val="00AE4330"/>
    <w:rsid w:val="00AE5AAF"/>
    <w:rsid w:val="00AE60C4"/>
    <w:rsid w:val="00AE6766"/>
    <w:rsid w:val="00AE6A2E"/>
    <w:rsid w:val="00AE796F"/>
    <w:rsid w:val="00AF05CC"/>
    <w:rsid w:val="00AF0B51"/>
    <w:rsid w:val="00AF1311"/>
    <w:rsid w:val="00AF17AE"/>
    <w:rsid w:val="00AF1C0B"/>
    <w:rsid w:val="00AF253E"/>
    <w:rsid w:val="00AF2578"/>
    <w:rsid w:val="00AF25C6"/>
    <w:rsid w:val="00AF2FE2"/>
    <w:rsid w:val="00AF3E23"/>
    <w:rsid w:val="00AF5116"/>
    <w:rsid w:val="00AF5802"/>
    <w:rsid w:val="00AF5DC9"/>
    <w:rsid w:val="00AF64A4"/>
    <w:rsid w:val="00AF79BE"/>
    <w:rsid w:val="00B001D6"/>
    <w:rsid w:val="00B00740"/>
    <w:rsid w:val="00B02098"/>
    <w:rsid w:val="00B023D2"/>
    <w:rsid w:val="00B043C7"/>
    <w:rsid w:val="00B07256"/>
    <w:rsid w:val="00B07611"/>
    <w:rsid w:val="00B07D74"/>
    <w:rsid w:val="00B11BBD"/>
    <w:rsid w:val="00B11C18"/>
    <w:rsid w:val="00B11D83"/>
    <w:rsid w:val="00B12109"/>
    <w:rsid w:val="00B125A2"/>
    <w:rsid w:val="00B128C1"/>
    <w:rsid w:val="00B12B85"/>
    <w:rsid w:val="00B145C1"/>
    <w:rsid w:val="00B1485F"/>
    <w:rsid w:val="00B1663C"/>
    <w:rsid w:val="00B16E6C"/>
    <w:rsid w:val="00B1793B"/>
    <w:rsid w:val="00B20FF0"/>
    <w:rsid w:val="00B21495"/>
    <w:rsid w:val="00B22C5A"/>
    <w:rsid w:val="00B237B6"/>
    <w:rsid w:val="00B23E4B"/>
    <w:rsid w:val="00B24311"/>
    <w:rsid w:val="00B25064"/>
    <w:rsid w:val="00B25119"/>
    <w:rsid w:val="00B2563A"/>
    <w:rsid w:val="00B257FE"/>
    <w:rsid w:val="00B25F30"/>
    <w:rsid w:val="00B2684F"/>
    <w:rsid w:val="00B26DC8"/>
    <w:rsid w:val="00B27936"/>
    <w:rsid w:val="00B306C2"/>
    <w:rsid w:val="00B31298"/>
    <w:rsid w:val="00B3201D"/>
    <w:rsid w:val="00B32B72"/>
    <w:rsid w:val="00B3369A"/>
    <w:rsid w:val="00B3402F"/>
    <w:rsid w:val="00B3499A"/>
    <w:rsid w:val="00B35305"/>
    <w:rsid w:val="00B35C7C"/>
    <w:rsid w:val="00B375B5"/>
    <w:rsid w:val="00B37B6D"/>
    <w:rsid w:val="00B404C2"/>
    <w:rsid w:val="00B40AA9"/>
    <w:rsid w:val="00B4194A"/>
    <w:rsid w:val="00B41E8E"/>
    <w:rsid w:val="00B41F27"/>
    <w:rsid w:val="00B430BE"/>
    <w:rsid w:val="00B43488"/>
    <w:rsid w:val="00B43EEF"/>
    <w:rsid w:val="00B441E7"/>
    <w:rsid w:val="00B44808"/>
    <w:rsid w:val="00B45D54"/>
    <w:rsid w:val="00B45DA5"/>
    <w:rsid w:val="00B46142"/>
    <w:rsid w:val="00B46704"/>
    <w:rsid w:val="00B46A44"/>
    <w:rsid w:val="00B473F8"/>
    <w:rsid w:val="00B47718"/>
    <w:rsid w:val="00B50C74"/>
    <w:rsid w:val="00B51C95"/>
    <w:rsid w:val="00B523A6"/>
    <w:rsid w:val="00B52B4E"/>
    <w:rsid w:val="00B5353D"/>
    <w:rsid w:val="00B553F7"/>
    <w:rsid w:val="00B55568"/>
    <w:rsid w:val="00B55B8B"/>
    <w:rsid w:val="00B568A7"/>
    <w:rsid w:val="00B61E49"/>
    <w:rsid w:val="00B61E8B"/>
    <w:rsid w:val="00B61EDF"/>
    <w:rsid w:val="00B6200E"/>
    <w:rsid w:val="00B6338E"/>
    <w:rsid w:val="00B637EF"/>
    <w:rsid w:val="00B647EB"/>
    <w:rsid w:val="00B659C2"/>
    <w:rsid w:val="00B659ED"/>
    <w:rsid w:val="00B66800"/>
    <w:rsid w:val="00B66A37"/>
    <w:rsid w:val="00B677E9"/>
    <w:rsid w:val="00B67822"/>
    <w:rsid w:val="00B67EC5"/>
    <w:rsid w:val="00B701A5"/>
    <w:rsid w:val="00B7049E"/>
    <w:rsid w:val="00B70B0B"/>
    <w:rsid w:val="00B72166"/>
    <w:rsid w:val="00B7404D"/>
    <w:rsid w:val="00B743B8"/>
    <w:rsid w:val="00B7493B"/>
    <w:rsid w:val="00B75321"/>
    <w:rsid w:val="00B758A5"/>
    <w:rsid w:val="00B75BFD"/>
    <w:rsid w:val="00B76144"/>
    <w:rsid w:val="00B7652F"/>
    <w:rsid w:val="00B7664C"/>
    <w:rsid w:val="00B769F7"/>
    <w:rsid w:val="00B806CF"/>
    <w:rsid w:val="00B821CA"/>
    <w:rsid w:val="00B822C5"/>
    <w:rsid w:val="00B83D24"/>
    <w:rsid w:val="00B8456C"/>
    <w:rsid w:val="00B8466B"/>
    <w:rsid w:val="00B8486A"/>
    <w:rsid w:val="00B84988"/>
    <w:rsid w:val="00B8532C"/>
    <w:rsid w:val="00B85457"/>
    <w:rsid w:val="00B8559F"/>
    <w:rsid w:val="00B86E6D"/>
    <w:rsid w:val="00B90530"/>
    <w:rsid w:val="00B90777"/>
    <w:rsid w:val="00B9261F"/>
    <w:rsid w:val="00B9286A"/>
    <w:rsid w:val="00B93C24"/>
    <w:rsid w:val="00B93F7E"/>
    <w:rsid w:val="00B946F2"/>
    <w:rsid w:val="00B94CB3"/>
    <w:rsid w:val="00B94D22"/>
    <w:rsid w:val="00B94D3E"/>
    <w:rsid w:val="00B951B8"/>
    <w:rsid w:val="00B956E0"/>
    <w:rsid w:val="00B95791"/>
    <w:rsid w:val="00B97634"/>
    <w:rsid w:val="00B97C13"/>
    <w:rsid w:val="00BA0476"/>
    <w:rsid w:val="00BA07AE"/>
    <w:rsid w:val="00BA1398"/>
    <w:rsid w:val="00BA1456"/>
    <w:rsid w:val="00BA184F"/>
    <w:rsid w:val="00BA1A69"/>
    <w:rsid w:val="00BA1C38"/>
    <w:rsid w:val="00BA2841"/>
    <w:rsid w:val="00BA31EC"/>
    <w:rsid w:val="00BA39A5"/>
    <w:rsid w:val="00BA7169"/>
    <w:rsid w:val="00BA7569"/>
    <w:rsid w:val="00BB0535"/>
    <w:rsid w:val="00BB0C01"/>
    <w:rsid w:val="00BB1748"/>
    <w:rsid w:val="00BB31F9"/>
    <w:rsid w:val="00BB5A31"/>
    <w:rsid w:val="00BB5BE8"/>
    <w:rsid w:val="00BB646F"/>
    <w:rsid w:val="00BB65AF"/>
    <w:rsid w:val="00BB7BEC"/>
    <w:rsid w:val="00BC0170"/>
    <w:rsid w:val="00BC12F2"/>
    <w:rsid w:val="00BC147B"/>
    <w:rsid w:val="00BC156C"/>
    <w:rsid w:val="00BC1BF0"/>
    <w:rsid w:val="00BC2294"/>
    <w:rsid w:val="00BC2770"/>
    <w:rsid w:val="00BC3B8C"/>
    <w:rsid w:val="00BC3D54"/>
    <w:rsid w:val="00BC5501"/>
    <w:rsid w:val="00BC7606"/>
    <w:rsid w:val="00BD01E5"/>
    <w:rsid w:val="00BD0611"/>
    <w:rsid w:val="00BD168D"/>
    <w:rsid w:val="00BD1CC3"/>
    <w:rsid w:val="00BD30BC"/>
    <w:rsid w:val="00BD37F6"/>
    <w:rsid w:val="00BD6984"/>
    <w:rsid w:val="00BE07F5"/>
    <w:rsid w:val="00BE0D2B"/>
    <w:rsid w:val="00BE100E"/>
    <w:rsid w:val="00BE1219"/>
    <w:rsid w:val="00BE18D6"/>
    <w:rsid w:val="00BE1B9E"/>
    <w:rsid w:val="00BE254F"/>
    <w:rsid w:val="00BE3C6E"/>
    <w:rsid w:val="00BE3E10"/>
    <w:rsid w:val="00BE43C2"/>
    <w:rsid w:val="00BE7B84"/>
    <w:rsid w:val="00BF0681"/>
    <w:rsid w:val="00BF186D"/>
    <w:rsid w:val="00BF3303"/>
    <w:rsid w:val="00BF466E"/>
    <w:rsid w:val="00BF5E71"/>
    <w:rsid w:val="00BF6060"/>
    <w:rsid w:val="00BF67A4"/>
    <w:rsid w:val="00BF7BF3"/>
    <w:rsid w:val="00C0016B"/>
    <w:rsid w:val="00C0043F"/>
    <w:rsid w:val="00C009CF"/>
    <w:rsid w:val="00C01002"/>
    <w:rsid w:val="00C01B65"/>
    <w:rsid w:val="00C01C63"/>
    <w:rsid w:val="00C01E07"/>
    <w:rsid w:val="00C03D98"/>
    <w:rsid w:val="00C04D52"/>
    <w:rsid w:val="00C063F5"/>
    <w:rsid w:val="00C065EA"/>
    <w:rsid w:val="00C06694"/>
    <w:rsid w:val="00C06ED2"/>
    <w:rsid w:val="00C0747D"/>
    <w:rsid w:val="00C11EFF"/>
    <w:rsid w:val="00C1289E"/>
    <w:rsid w:val="00C12BF4"/>
    <w:rsid w:val="00C12D39"/>
    <w:rsid w:val="00C131ED"/>
    <w:rsid w:val="00C1393A"/>
    <w:rsid w:val="00C161AE"/>
    <w:rsid w:val="00C2023C"/>
    <w:rsid w:val="00C20C8C"/>
    <w:rsid w:val="00C2150A"/>
    <w:rsid w:val="00C22F5B"/>
    <w:rsid w:val="00C233B3"/>
    <w:rsid w:val="00C23B47"/>
    <w:rsid w:val="00C25225"/>
    <w:rsid w:val="00C263E5"/>
    <w:rsid w:val="00C2645D"/>
    <w:rsid w:val="00C27A0B"/>
    <w:rsid w:val="00C30963"/>
    <w:rsid w:val="00C31E4B"/>
    <w:rsid w:val="00C3363B"/>
    <w:rsid w:val="00C357A6"/>
    <w:rsid w:val="00C35B1D"/>
    <w:rsid w:val="00C35C65"/>
    <w:rsid w:val="00C35E36"/>
    <w:rsid w:val="00C3631A"/>
    <w:rsid w:val="00C365FC"/>
    <w:rsid w:val="00C36842"/>
    <w:rsid w:val="00C4058E"/>
    <w:rsid w:val="00C41474"/>
    <w:rsid w:val="00C41A01"/>
    <w:rsid w:val="00C428DA"/>
    <w:rsid w:val="00C42A6E"/>
    <w:rsid w:val="00C43630"/>
    <w:rsid w:val="00C436BF"/>
    <w:rsid w:val="00C43839"/>
    <w:rsid w:val="00C44420"/>
    <w:rsid w:val="00C45564"/>
    <w:rsid w:val="00C45794"/>
    <w:rsid w:val="00C4609A"/>
    <w:rsid w:val="00C52A34"/>
    <w:rsid w:val="00C5314D"/>
    <w:rsid w:val="00C570AE"/>
    <w:rsid w:val="00C61B28"/>
    <w:rsid w:val="00C62B41"/>
    <w:rsid w:val="00C63291"/>
    <w:rsid w:val="00C64037"/>
    <w:rsid w:val="00C64558"/>
    <w:rsid w:val="00C645D5"/>
    <w:rsid w:val="00C64E71"/>
    <w:rsid w:val="00C66A8F"/>
    <w:rsid w:val="00C66F7B"/>
    <w:rsid w:val="00C67E43"/>
    <w:rsid w:val="00C709F0"/>
    <w:rsid w:val="00C712C0"/>
    <w:rsid w:val="00C71744"/>
    <w:rsid w:val="00C71C0B"/>
    <w:rsid w:val="00C721FD"/>
    <w:rsid w:val="00C72B16"/>
    <w:rsid w:val="00C74E64"/>
    <w:rsid w:val="00C7539F"/>
    <w:rsid w:val="00C75865"/>
    <w:rsid w:val="00C75E21"/>
    <w:rsid w:val="00C77945"/>
    <w:rsid w:val="00C802BD"/>
    <w:rsid w:val="00C81753"/>
    <w:rsid w:val="00C82328"/>
    <w:rsid w:val="00C82746"/>
    <w:rsid w:val="00C84077"/>
    <w:rsid w:val="00C8669B"/>
    <w:rsid w:val="00C87176"/>
    <w:rsid w:val="00C87A50"/>
    <w:rsid w:val="00C9041E"/>
    <w:rsid w:val="00C917E6"/>
    <w:rsid w:val="00C9239D"/>
    <w:rsid w:val="00C93F64"/>
    <w:rsid w:val="00C95EDF"/>
    <w:rsid w:val="00C964F0"/>
    <w:rsid w:val="00C96786"/>
    <w:rsid w:val="00C97818"/>
    <w:rsid w:val="00C97B41"/>
    <w:rsid w:val="00CA0F77"/>
    <w:rsid w:val="00CA1ECC"/>
    <w:rsid w:val="00CA41D8"/>
    <w:rsid w:val="00CA4271"/>
    <w:rsid w:val="00CA5536"/>
    <w:rsid w:val="00CA5871"/>
    <w:rsid w:val="00CA6BFB"/>
    <w:rsid w:val="00CA7EC8"/>
    <w:rsid w:val="00CB0CC9"/>
    <w:rsid w:val="00CB1165"/>
    <w:rsid w:val="00CB18C0"/>
    <w:rsid w:val="00CB1F7C"/>
    <w:rsid w:val="00CB355D"/>
    <w:rsid w:val="00CB36DC"/>
    <w:rsid w:val="00CB4177"/>
    <w:rsid w:val="00CB475E"/>
    <w:rsid w:val="00CB5A3E"/>
    <w:rsid w:val="00CC0BCD"/>
    <w:rsid w:val="00CC102E"/>
    <w:rsid w:val="00CC14E8"/>
    <w:rsid w:val="00CC3300"/>
    <w:rsid w:val="00CC4EE7"/>
    <w:rsid w:val="00CC4FC7"/>
    <w:rsid w:val="00CC5DD5"/>
    <w:rsid w:val="00CC61E4"/>
    <w:rsid w:val="00CC6CC5"/>
    <w:rsid w:val="00CC7E07"/>
    <w:rsid w:val="00CC7ED1"/>
    <w:rsid w:val="00CD1933"/>
    <w:rsid w:val="00CD1D17"/>
    <w:rsid w:val="00CD32B2"/>
    <w:rsid w:val="00CD32FC"/>
    <w:rsid w:val="00CD4D67"/>
    <w:rsid w:val="00CD6039"/>
    <w:rsid w:val="00CD73B5"/>
    <w:rsid w:val="00CD746A"/>
    <w:rsid w:val="00CD7E0B"/>
    <w:rsid w:val="00CE19D8"/>
    <w:rsid w:val="00CE1B9D"/>
    <w:rsid w:val="00CE1FA0"/>
    <w:rsid w:val="00CE2AA8"/>
    <w:rsid w:val="00CE3947"/>
    <w:rsid w:val="00CE3D21"/>
    <w:rsid w:val="00CE4552"/>
    <w:rsid w:val="00CE55E7"/>
    <w:rsid w:val="00CE560F"/>
    <w:rsid w:val="00CE6100"/>
    <w:rsid w:val="00CE68E1"/>
    <w:rsid w:val="00CF02DC"/>
    <w:rsid w:val="00CF0B36"/>
    <w:rsid w:val="00CF112C"/>
    <w:rsid w:val="00CF13C5"/>
    <w:rsid w:val="00CF1989"/>
    <w:rsid w:val="00CF20FE"/>
    <w:rsid w:val="00CF30D1"/>
    <w:rsid w:val="00CF6026"/>
    <w:rsid w:val="00CF6A25"/>
    <w:rsid w:val="00CF7128"/>
    <w:rsid w:val="00D0005C"/>
    <w:rsid w:val="00D00A3B"/>
    <w:rsid w:val="00D00BB5"/>
    <w:rsid w:val="00D00E10"/>
    <w:rsid w:val="00D0112E"/>
    <w:rsid w:val="00D038E5"/>
    <w:rsid w:val="00D05BE8"/>
    <w:rsid w:val="00D0674B"/>
    <w:rsid w:val="00D072BD"/>
    <w:rsid w:val="00D1027E"/>
    <w:rsid w:val="00D10380"/>
    <w:rsid w:val="00D10FBA"/>
    <w:rsid w:val="00D1154B"/>
    <w:rsid w:val="00D12C47"/>
    <w:rsid w:val="00D13C9F"/>
    <w:rsid w:val="00D14713"/>
    <w:rsid w:val="00D15A64"/>
    <w:rsid w:val="00D16802"/>
    <w:rsid w:val="00D16833"/>
    <w:rsid w:val="00D16866"/>
    <w:rsid w:val="00D16879"/>
    <w:rsid w:val="00D1748C"/>
    <w:rsid w:val="00D21154"/>
    <w:rsid w:val="00D216C1"/>
    <w:rsid w:val="00D22692"/>
    <w:rsid w:val="00D2474E"/>
    <w:rsid w:val="00D25A3A"/>
    <w:rsid w:val="00D2619B"/>
    <w:rsid w:val="00D264B5"/>
    <w:rsid w:val="00D2705F"/>
    <w:rsid w:val="00D278FA"/>
    <w:rsid w:val="00D27993"/>
    <w:rsid w:val="00D279BA"/>
    <w:rsid w:val="00D27F9E"/>
    <w:rsid w:val="00D3083B"/>
    <w:rsid w:val="00D30E30"/>
    <w:rsid w:val="00D30F37"/>
    <w:rsid w:val="00D3110C"/>
    <w:rsid w:val="00D32267"/>
    <w:rsid w:val="00D32913"/>
    <w:rsid w:val="00D329E9"/>
    <w:rsid w:val="00D3315E"/>
    <w:rsid w:val="00D341E2"/>
    <w:rsid w:val="00D347DA"/>
    <w:rsid w:val="00D360C3"/>
    <w:rsid w:val="00D4102D"/>
    <w:rsid w:val="00D41039"/>
    <w:rsid w:val="00D413A8"/>
    <w:rsid w:val="00D418BF"/>
    <w:rsid w:val="00D41AF1"/>
    <w:rsid w:val="00D41EB8"/>
    <w:rsid w:val="00D41FC4"/>
    <w:rsid w:val="00D42429"/>
    <w:rsid w:val="00D43585"/>
    <w:rsid w:val="00D45FD2"/>
    <w:rsid w:val="00D46841"/>
    <w:rsid w:val="00D4772C"/>
    <w:rsid w:val="00D50C1E"/>
    <w:rsid w:val="00D520CE"/>
    <w:rsid w:val="00D526CE"/>
    <w:rsid w:val="00D52ED4"/>
    <w:rsid w:val="00D5348A"/>
    <w:rsid w:val="00D537D2"/>
    <w:rsid w:val="00D545A5"/>
    <w:rsid w:val="00D54723"/>
    <w:rsid w:val="00D5571E"/>
    <w:rsid w:val="00D56755"/>
    <w:rsid w:val="00D57FDD"/>
    <w:rsid w:val="00D60BC4"/>
    <w:rsid w:val="00D60F52"/>
    <w:rsid w:val="00D61078"/>
    <w:rsid w:val="00D6142B"/>
    <w:rsid w:val="00D6217E"/>
    <w:rsid w:val="00D63FE5"/>
    <w:rsid w:val="00D641C7"/>
    <w:rsid w:val="00D64672"/>
    <w:rsid w:val="00D64C6D"/>
    <w:rsid w:val="00D64D58"/>
    <w:rsid w:val="00D65BA3"/>
    <w:rsid w:val="00D7007A"/>
    <w:rsid w:val="00D70214"/>
    <w:rsid w:val="00D719A1"/>
    <w:rsid w:val="00D728B6"/>
    <w:rsid w:val="00D738DA"/>
    <w:rsid w:val="00D74ECA"/>
    <w:rsid w:val="00D761B5"/>
    <w:rsid w:val="00D76319"/>
    <w:rsid w:val="00D765A6"/>
    <w:rsid w:val="00D766E5"/>
    <w:rsid w:val="00D76EFB"/>
    <w:rsid w:val="00D80723"/>
    <w:rsid w:val="00D80E5B"/>
    <w:rsid w:val="00D8145F"/>
    <w:rsid w:val="00D821AC"/>
    <w:rsid w:val="00D83590"/>
    <w:rsid w:val="00D838AC"/>
    <w:rsid w:val="00D84165"/>
    <w:rsid w:val="00D84185"/>
    <w:rsid w:val="00D84304"/>
    <w:rsid w:val="00D84449"/>
    <w:rsid w:val="00D85029"/>
    <w:rsid w:val="00D85373"/>
    <w:rsid w:val="00D85AEC"/>
    <w:rsid w:val="00D86718"/>
    <w:rsid w:val="00D86906"/>
    <w:rsid w:val="00D87010"/>
    <w:rsid w:val="00D870AF"/>
    <w:rsid w:val="00D8756C"/>
    <w:rsid w:val="00D900BE"/>
    <w:rsid w:val="00D9020D"/>
    <w:rsid w:val="00D91156"/>
    <w:rsid w:val="00D912AD"/>
    <w:rsid w:val="00D91425"/>
    <w:rsid w:val="00D91817"/>
    <w:rsid w:val="00D93298"/>
    <w:rsid w:val="00D94885"/>
    <w:rsid w:val="00D94C6E"/>
    <w:rsid w:val="00D96129"/>
    <w:rsid w:val="00D961F7"/>
    <w:rsid w:val="00D96A4B"/>
    <w:rsid w:val="00D97BA1"/>
    <w:rsid w:val="00DA1416"/>
    <w:rsid w:val="00DA21DE"/>
    <w:rsid w:val="00DA223F"/>
    <w:rsid w:val="00DA29A5"/>
    <w:rsid w:val="00DA322E"/>
    <w:rsid w:val="00DA3E03"/>
    <w:rsid w:val="00DA4CB6"/>
    <w:rsid w:val="00DA4F52"/>
    <w:rsid w:val="00DA51BE"/>
    <w:rsid w:val="00DA54F8"/>
    <w:rsid w:val="00DA7E4F"/>
    <w:rsid w:val="00DB0E50"/>
    <w:rsid w:val="00DB26AA"/>
    <w:rsid w:val="00DB289F"/>
    <w:rsid w:val="00DB3CC4"/>
    <w:rsid w:val="00DB404A"/>
    <w:rsid w:val="00DB483E"/>
    <w:rsid w:val="00DB5D38"/>
    <w:rsid w:val="00DB61C0"/>
    <w:rsid w:val="00DB6DA9"/>
    <w:rsid w:val="00DB76EE"/>
    <w:rsid w:val="00DC01BE"/>
    <w:rsid w:val="00DC19DE"/>
    <w:rsid w:val="00DC2276"/>
    <w:rsid w:val="00DC234E"/>
    <w:rsid w:val="00DC2749"/>
    <w:rsid w:val="00DC28A2"/>
    <w:rsid w:val="00DC46F8"/>
    <w:rsid w:val="00DC66E1"/>
    <w:rsid w:val="00DC717C"/>
    <w:rsid w:val="00DC74EC"/>
    <w:rsid w:val="00DC7951"/>
    <w:rsid w:val="00DC7A1B"/>
    <w:rsid w:val="00DD15C7"/>
    <w:rsid w:val="00DD1988"/>
    <w:rsid w:val="00DD2838"/>
    <w:rsid w:val="00DD28BC"/>
    <w:rsid w:val="00DD3DE9"/>
    <w:rsid w:val="00DD4FF4"/>
    <w:rsid w:val="00DD671C"/>
    <w:rsid w:val="00DD6D31"/>
    <w:rsid w:val="00DD7067"/>
    <w:rsid w:val="00DE08C5"/>
    <w:rsid w:val="00DE1300"/>
    <w:rsid w:val="00DE1D49"/>
    <w:rsid w:val="00DE2361"/>
    <w:rsid w:val="00DE2D6A"/>
    <w:rsid w:val="00DE4539"/>
    <w:rsid w:val="00DE49B9"/>
    <w:rsid w:val="00DE534E"/>
    <w:rsid w:val="00DE56E3"/>
    <w:rsid w:val="00DE5F5B"/>
    <w:rsid w:val="00DE5F73"/>
    <w:rsid w:val="00DF1127"/>
    <w:rsid w:val="00DF26B4"/>
    <w:rsid w:val="00DF5546"/>
    <w:rsid w:val="00DF5BC6"/>
    <w:rsid w:val="00DF7875"/>
    <w:rsid w:val="00E01F9E"/>
    <w:rsid w:val="00E02326"/>
    <w:rsid w:val="00E035E7"/>
    <w:rsid w:val="00E04384"/>
    <w:rsid w:val="00E05CEF"/>
    <w:rsid w:val="00E07CE0"/>
    <w:rsid w:val="00E10C39"/>
    <w:rsid w:val="00E10E63"/>
    <w:rsid w:val="00E1246E"/>
    <w:rsid w:val="00E12C29"/>
    <w:rsid w:val="00E141CF"/>
    <w:rsid w:val="00E1476F"/>
    <w:rsid w:val="00E1533A"/>
    <w:rsid w:val="00E15588"/>
    <w:rsid w:val="00E178F5"/>
    <w:rsid w:val="00E20E94"/>
    <w:rsid w:val="00E21D4D"/>
    <w:rsid w:val="00E21F9B"/>
    <w:rsid w:val="00E22E42"/>
    <w:rsid w:val="00E22F9D"/>
    <w:rsid w:val="00E23331"/>
    <w:rsid w:val="00E2486C"/>
    <w:rsid w:val="00E25991"/>
    <w:rsid w:val="00E25995"/>
    <w:rsid w:val="00E2628A"/>
    <w:rsid w:val="00E26D19"/>
    <w:rsid w:val="00E30E3D"/>
    <w:rsid w:val="00E30F12"/>
    <w:rsid w:val="00E31531"/>
    <w:rsid w:val="00E326FD"/>
    <w:rsid w:val="00E32D65"/>
    <w:rsid w:val="00E33E19"/>
    <w:rsid w:val="00E34F00"/>
    <w:rsid w:val="00E350E3"/>
    <w:rsid w:val="00E3576C"/>
    <w:rsid w:val="00E359B7"/>
    <w:rsid w:val="00E360E0"/>
    <w:rsid w:val="00E36212"/>
    <w:rsid w:val="00E372F0"/>
    <w:rsid w:val="00E37725"/>
    <w:rsid w:val="00E4089B"/>
    <w:rsid w:val="00E409D6"/>
    <w:rsid w:val="00E40DB6"/>
    <w:rsid w:val="00E42CF1"/>
    <w:rsid w:val="00E43743"/>
    <w:rsid w:val="00E442E4"/>
    <w:rsid w:val="00E44D7E"/>
    <w:rsid w:val="00E4531C"/>
    <w:rsid w:val="00E4589D"/>
    <w:rsid w:val="00E45DA3"/>
    <w:rsid w:val="00E460FB"/>
    <w:rsid w:val="00E46C36"/>
    <w:rsid w:val="00E478F2"/>
    <w:rsid w:val="00E50841"/>
    <w:rsid w:val="00E50935"/>
    <w:rsid w:val="00E50ADC"/>
    <w:rsid w:val="00E513CD"/>
    <w:rsid w:val="00E51655"/>
    <w:rsid w:val="00E519A5"/>
    <w:rsid w:val="00E51A6A"/>
    <w:rsid w:val="00E51AC1"/>
    <w:rsid w:val="00E52928"/>
    <w:rsid w:val="00E52A23"/>
    <w:rsid w:val="00E52B9C"/>
    <w:rsid w:val="00E53C13"/>
    <w:rsid w:val="00E53DCD"/>
    <w:rsid w:val="00E54866"/>
    <w:rsid w:val="00E5488D"/>
    <w:rsid w:val="00E54CF5"/>
    <w:rsid w:val="00E55133"/>
    <w:rsid w:val="00E55B6D"/>
    <w:rsid w:val="00E55EAB"/>
    <w:rsid w:val="00E567D8"/>
    <w:rsid w:val="00E569BD"/>
    <w:rsid w:val="00E56E96"/>
    <w:rsid w:val="00E5732C"/>
    <w:rsid w:val="00E57E1D"/>
    <w:rsid w:val="00E60762"/>
    <w:rsid w:val="00E60AA2"/>
    <w:rsid w:val="00E60C85"/>
    <w:rsid w:val="00E61EC3"/>
    <w:rsid w:val="00E62B8C"/>
    <w:rsid w:val="00E62C5C"/>
    <w:rsid w:val="00E62E97"/>
    <w:rsid w:val="00E641BC"/>
    <w:rsid w:val="00E64A39"/>
    <w:rsid w:val="00E64C92"/>
    <w:rsid w:val="00E667AE"/>
    <w:rsid w:val="00E668DE"/>
    <w:rsid w:val="00E66AB2"/>
    <w:rsid w:val="00E67120"/>
    <w:rsid w:val="00E70384"/>
    <w:rsid w:val="00E717C9"/>
    <w:rsid w:val="00E71DD0"/>
    <w:rsid w:val="00E72458"/>
    <w:rsid w:val="00E744C0"/>
    <w:rsid w:val="00E74EF8"/>
    <w:rsid w:val="00E75B45"/>
    <w:rsid w:val="00E75FBC"/>
    <w:rsid w:val="00E76628"/>
    <w:rsid w:val="00E76B1A"/>
    <w:rsid w:val="00E77CE1"/>
    <w:rsid w:val="00E80A60"/>
    <w:rsid w:val="00E811FB"/>
    <w:rsid w:val="00E824D2"/>
    <w:rsid w:val="00E83FF9"/>
    <w:rsid w:val="00E84E55"/>
    <w:rsid w:val="00E84F4E"/>
    <w:rsid w:val="00E8524E"/>
    <w:rsid w:val="00E85B2A"/>
    <w:rsid w:val="00E867EE"/>
    <w:rsid w:val="00E86A65"/>
    <w:rsid w:val="00E86B5B"/>
    <w:rsid w:val="00E877F2"/>
    <w:rsid w:val="00E87FC1"/>
    <w:rsid w:val="00E9044F"/>
    <w:rsid w:val="00E90634"/>
    <w:rsid w:val="00E90ACA"/>
    <w:rsid w:val="00E91853"/>
    <w:rsid w:val="00E923F9"/>
    <w:rsid w:val="00E9357E"/>
    <w:rsid w:val="00E939D7"/>
    <w:rsid w:val="00E93D20"/>
    <w:rsid w:val="00E9402F"/>
    <w:rsid w:val="00E9495E"/>
    <w:rsid w:val="00E978A1"/>
    <w:rsid w:val="00E97C2E"/>
    <w:rsid w:val="00E97E95"/>
    <w:rsid w:val="00EA0559"/>
    <w:rsid w:val="00EA089E"/>
    <w:rsid w:val="00EA0A01"/>
    <w:rsid w:val="00EA149E"/>
    <w:rsid w:val="00EA5A8E"/>
    <w:rsid w:val="00EA6290"/>
    <w:rsid w:val="00EA63C4"/>
    <w:rsid w:val="00EA672A"/>
    <w:rsid w:val="00EA7496"/>
    <w:rsid w:val="00EA787F"/>
    <w:rsid w:val="00EA7989"/>
    <w:rsid w:val="00EA7DF2"/>
    <w:rsid w:val="00EA7EFF"/>
    <w:rsid w:val="00EB00E6"/>
    <w:rsid w:val="00EB12A5"/>
    <w:rsid w:val="00EB1AC0"/>
    <w:rsid w:val="00EB21AC"/>
    <w:rsid w:val="00EB2516"/>
    <w:rsid w:val="00EB2612"/>
    <w:rsid w:val="00EB274E"/>
    <w:rsid w:val="00EB340A"/>
    <w:rsid w:val="00EB40A0"/>
    <w:rsid w:val="00EB417E"/>
    <w:rsid w:val="00EB633D"/>
    <w:rsid w:val="00EB636F"/>
    <w:rsid w:val="00EB67AB"/>
    <w:rsid w:val="00EB7B57"/>
    <w:rsid w:val="00EC03AD"/>
    <w:rsid w:val="00EC0C6D"/>
    <w:rsid w:val="00EC12DD"/>
    <w:rsid w:val="00EC1709"/>
    <w:rsid w:val="00EC236F"/>
    <w:rsid w:val="00EC25E3"/>
    <w:rsid w:val="00EC3BCE"/>
    <w:rsid w:val="00EC4EE9"/>
    <w:rsid w:val="00EC5845"/>
    <w:rsid w:val="00EC75CD"/>
    <w:rsid w:val="00ED31CE"/>
    <w:rsid w:val="00ED3535"/>
    <w:rsid w:val="00ED46F8"/>
    <w:rsid w:val="00ED4E81"/>
    <w:rsid w:val="00ED63EE"/>
    <w:rsid w:val="00ED7A62"/>
    <w:rsid w:val="00ED7E4D"/>
    <w:rsid w:val="00EE175C"/>
    <w:rsid w:val="00EE1B39"/>
    <w:rsid w:val="00EE2250"/>
    <w:rsid w:val="00EE31B3"/>
    <w:rsid w:val="00EE37F8"/>
    <w:rsid w:val="00EE45E3"/>
    <w:rsid w:val="00EE650F"/>
    <w:rsid w:val="00EE6B99"/>
    <w:rsid w:val="00EE7812"/>
    <w:rsid w:val="00EF09E4"/>
    <w:rsid w:val="00EF16BD"/>
    <w:rsid w:val="00EF3171"/>
    <w:rsid w:val="00EF321D"/>
    <w:rsid w:val="00EF77D8"/>
    <w:rsid w:val="00EF79D4"/>
    <w:rsid w:val="00EF7BB2"/>
    <w:rsid w:val="00EF7BF9"/>
    <w:rsid w:val="00F007C0"/>
    <w:rsid w:val="00F01027"/>
    <w:rsid w:val="00F010CD"/>
    <w:rsid w:val="00F010D4"/>
    <w:rsid w:val="00F01D61"/>
    <w:rsid w:val="00F01DA6"/>
    <w:rsid w:val="00F02DDA"/>
    <w:rsid w:val="00F032D7"/>
    <w:rsid w:val="00F0338E"/>
    <w:rsid w:val="00F037DE"/>
    <w:rsid w:val="00F03990"/>
    <w:rsid w:val="00F05ED4"/>
    <w:rsid w:val="00F061F1"/>
    <w:rsid w:val="00F06EC7"/>
    <w:rsid w:val="00F07543"/>
    <w:rsid w:val="00F10985"/>
    <w:rsid w:val="00F12D79"/>
    <w:rsid w:val="00F130AB"/>
    <w:rsid w:val="00F1320E"/>
    <w:rsid w:val="00F1367D"/>
    <w:rsid w:val="00F13F0E"/>
    <w:rsid w:val="00F14276"/>
    <w:rsid w:val="00F1504C"/>
    <w:rsid w:val="00F15500"/>
    <w:rsid w:val="00F158DC"/>
    <w:rsid w:val="00F16424"/>
    <w:rsid w:val="00F1759E"/>
    <w:rsid w:val="00F178E5"/>
    <w:rsid w:val="00F17984"/>
    <w:rsid w:val="00F22FFB"/>
    <w:rsid w:val="00F233CA"/>
    <w:rsid w:val="00F2441C"/>
    <w:rsid w:val="00F24B16"/>
    <w:rsid w:val="00F24D6C"/>
    <w:rsid w:val="00F24E20"/>
    <w:rsid w:val="00F24EFD"/>
    <w:rsid w:val="00F25371"/>
    <w:rsid w:val="00F25F18"/>
    <w:rsid w:val="00F2640E"/>
    <w:rsid w:val="00F26AC9"/>
    <w:rsid w:val="00F27B74"/>
    <w:rsid w:val="00F27BAD"/>
    <w:rsid w:val="00F33861"/>
    <w:rsid w:val="00F339E6"/>
    <w:rsid w:val="00F33B00"/>
    <w:rsid w:val="00F340B5"/>
    <w:rsid w:val="00F3438A"/>
    <w:rsid w:val="00F346CF"/>
    <w:rsid w:val="00F34A50"/>
    <w:rsid w:val="00F35110"/>
    <w:rsid w:val="00F35518"/>
    <w:rsid w:val="00F37169"/>
    <w:rsid w:val="00F37230"/>
    <w:rsid w:val="00F372C1"/>
    <w:rsid w:val="00F375C0"/>
    <w:rsid w:val="00F4028F"/>
    <w:rsid w:val="00F409AD"/>
    <w:rsid w:val="00F42855"/>
    <w:rsid w:val="00F42BD6"/>
    <w:rsid w:val="00F43AF3"/>
    <w:rsid w:val="00F456B1"/>
    <w:rsid w:val="00F46A0F"/>
    <w:rsid w:val="00F475CD"/>
    <w:rsid w:val="00F50E8D"/>
    <w:rsid w:val="00F511F4"/>
    <w:rsid w:val="00F51542"/>
    <w:rsid w:val="00F52076"/>
    <w:rsid w:val="00F52366"/>
    <w:rsid w:val="00F55A31"/>
    <w:rsid w:val="00F55FB9"/>
    <w:rsid w:val="00F575F5"/>
    <w:rsid w:val="00F60BE6"/>
    <w:rsid w:val="00F616C4"/>
    <w:rsid w:val="00F6186B"/>
    <w:rsid w:val="00F62567"/>
    <w:rsid w:val="00F62FD2"/>
    <w:rsid w:val="00F63CE5"/>
    <w:rsid w:val="00F6409E"/>
    <w:rsid w:val="00F646B9"/>
    <w:rsid w:val="00F65085"/>
    <w:rsid w:val="00F65EC5"/>
    <w:rsid w:val="00F66638"/>
    <w:rsid w:val="00F67621"/>
    <w:rsid w:val="00F67734"/>
    <w:rsid w:val="00F70CAE"/>
    <w:rsid w:val="00F7159B"/>
    <w:rsid w:val="00F7176A"/>
    <w:rsid w:val="00F72805"/>
    <w:rsid w:val="00F72F1B"/>
    <w:rsid w:val="00F74B79"/>
    <w:rsid w:val="00F75529"/>
    <w:rsid w:val="00F768B8"/>
    <w:rsid w:val="00F7697B"/>
    <w:rsid w:val="00F76E6E"/>
    <w:rsid w:val="00F77565"/>
    <w:rsid w:val="00F8053A"/>
    <w:rsid w:val="00F80A12"/>
    <w:rsid w:val="00F80B3F"/>
    <w:rsid w:val="00F80CF1"/>
    <w:rsid w:val="00F80D89"/>
    <w:rsid w:val="00F81D14"/>
    <w:rsid w:val="00F82446"/>
    <w:rsid w:val="00F82660"/>
    <w:rsid w:val="00F8280A"/>
    <w:rsid w:val="00F82ADA"/>
    <w:rsid w:val="00F82FC7"/>
    <w:rsid w:val="00F834B1"/>
    <w:rsid w:val="00F84E5C"/>
    <w:rsid w:val="00F84F89"/>
    <w:rsid w:val="00F8631D"/>
    <w:rsid w:val="00F86418"/>
    <w:rsid w:val="00F869A3"/>
    <w:rsid w:val="00F874EF"/>
    <w:rsid w:val="00F87750"/>
    <w:rsid w:val="00F87E3E"/>
    <w:rsid w:val="00F903E5"/>
    <w:rsid w:val="00F9062E"/>
    <w:rsid w:val="00F91DE0"/>
    <w:rsid w:val="00F92678"/>
    <w:rsid w:val="00F93F96"/>
    <w:rsid w:val="00F96903"/>
    <w:rsid w:val="00F97BEA"/>
    <w:rsid w:val="00F97F62"/>
    <w:rsid w:val="00FA107E"/>
    <w:rsid w:val="00FA2136"/>
    <w:rsid w:val="00FA2A97"/>
    <w:rsid w:val="00FA456D"/>
    <w:rsid w:val="00FA5ED6"/>
    <w:rsid w:val="00FA6D2B"/>
    <w:rsid w:val="00FA7006"/>
    <w:rsid w:val="00FA7A78"/>
    <w:rsid w:val="00FA7FD5"/>
    <w:rsid w:val="00FB03F2"/>
    <w:rsid w:val="00FB128D"/>
    <w:rsid w:val="00FB21A4"/>
    <w:rsid w:val="00FB242E"/>
    <w:rsid w:val="00FB25F4"/>
    <w:rsid w:val="00FB2AE5"/>
    <w:rsid w:val="00FB315A"/>
    <w:rsid w:val="00FB3375"/>
    <w:rsid w:val="00FB5C90"/>
    <w:rsid w:val="00FC0716"/>
    <w:rsid w:val="00FC1902"/>
    <w:rsid w:val="00FC195F"/>
    <w:rsid w:val="00FC26B2"/>
    <w:rsid w:val="00FC3E08"/>
    <w:rsid w:val="00FC45E3"/>
    <w:rsid w:val="00FC6BB9"/>
    <w:rsid w:val="00FC6E5D"/>
    <w:rsid w:val="00FC7123"/>
    <w:rsid w:val="00FC74EC"/>
    <w:rsid w:val="00FC7B3D"/>
    <w:rsid w:val="00FD0036"/>
    <w:rsid w:val="00FD1C65"/>
    <w:rsid w:val="00FD231C"/>
    <w:rsid w:val="00FD2F9A"/>
    <w:rsid w:val="00FD3776"/>
    <w:rsid w:val="00FD3826"/>
    <w:rsid w:val="00FD3BA0"/>
    <w:rsid w:val="00FD539C"/>
    <w:rsid w:val="00FD5668"/>
    <w:rsid w:val="00FD5C6C"/>
    <w:rsid w:val="00FD6310"/>
    <w:rsid w:val="00FD7515"/>
    <w:rsid w:val="00FD7AF2"/>
    <w:rsid w:val="00FD7B70"/>
    <w:rsid w:val="00FE03EE"/>
    <w:rsid w:val="00FE09F3"/>
    <w:rsid w:val="00FE0E00"/>
    <w:rsid w:val="00FE1899"/>
    <w:rsid w:val="00FE1AC1"/>
    <w:rsid w:val="00FE3EDB"/>
    <w:rsid w:val="00FE5175"/>
    <w:rsid w:val="00FE5B1A"/>
    <w:rsid w:val="00FE5EA8"/>
    <w:rsid w:val="00FF0A35"/>
    <w:rsid w:val="00FF0D0D"/>
    <w:rsid w:val="00FF1131"/>
    <w:rsid w:val="00FF16AB"/>
    <w:rsid w:val="00FF1EA7"/>
    <w:rsid w:val="00FF2600"/>
    <w:rsid w:val="00FF2D4D"/>
    <w:rsid w:val="00FF3781"/>
    <w:rsid w:val="00FF4621"/>
    <w:rsid w:val="00FF4C75"/>
    <w:rsid w:val="00FF571B"/>
    <w:rsid w:val="00FF7D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A03EE"/>
  <w15:docId w15:val="{952B0A2F-58D3-6942-983D-49E95649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1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946F2"/>
    <w:rPr>
      <w:sz w:val="20"/>
      <w:szCs w:val="20"/>
    </w:rPr>
  </w:style>
  <w:style w:type="character" w:customStyle="1" w:styleId="EndnoteTextChar">
    <w:name w:val="Endnote Text Char"/>
    <w:basedOn w:val="DefaultParagraphFont"/>
    <w:link w:val="EndnoteText"/>
    <w:uiPriority w:val="99"/>
    <w:rsid w:val="00B946F2"/>
    <w:rPr>
      <w:sz w:val="20"/>
      <w:szCs w:val="20"/>
    </w:rPr>
  </w:style>
  <w:style w:type="character" w:styleId="EndnoteReference">
    <w:name w:val="endnote reference"/>
    <w:basedOn w:val="DefaultParagraphFont"/>
    <w:uiPriority w:val="99"/>
    <w:unhideWhenUsed/>
    <w:rsid w:val="00B946F2"/>
    <w:rPr>
      <w:vertAlign w:val="superscript"/>
    </w:rPr>
  </w:style>
  <w:style w:type="character" w:customStyle="1" w:styleId="Heading1Char">
    <w:name w:val="Heading 1 Char"/>
    <w:basedOn w:val="DefaultParagraphFont"/>
    <w:link w:val="Heading1"/>
    <w:uiPriority w:val="9"/>
    <w:rsid w:val="0078714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264E9D"/>
    <w:rPr>
      <w:sz w:val="20"/>
      <w:szCs w:val="20"/>
    </w:rPr>
  </w:style>
  <w:style w:type="character" w:customStyle="1" w:styleId="FootnoteTextChar">
    <w:name w:val="Footnote Text Char"/>
    <w:basedOn w:val="DefaultParagraphFont"/>
    <w:link w:val="FootnoteText"/>
    <w:uiPriority w:val="99"/>
    <w:semiHidden/>
    <w:rsid w:val="00264E9D"/>
    <w:rPr>
      <w:sz w:val="20"/>
      <w:szCs w:val="20"/>
    </w:rPr>
  </w:style>
  <w:style w:type="character" w:styleId="FootnoteReference">
    <w:name w:val="footnote reference"/>
    <w:basedOn w:val="DefaultParagraphFont"/>
    <w:uiPriority w:val="99"/>
    <w:semiHidden/>
    <w:unhideWhenUsed/>
    <w:rsid w:val="00264E9D"/>
    <w:rPr>
      <w:vertAlign w:val="superscript"/>
    </w:rPr>
  </w:style>
  <w:style w:type="paragraph" w:styleId="ListParagraph">
    <w:name w:val="List Paragraph"/>
    <w:basedOn w:val="Normal"/>
    <w:uiPriority w:val="34"/>
    <w:qFormat/>
    <w:rsid w:val="001B10AC"/>
    <w:pPr>
      <w:ind w:left="720"/>
      <w:contextualSpacing/>
    </w:pPr>
  </w:style>
  <w:style w:type="paragraph" w:styleId="Header">
    <w:name w:val="header"/>
    <w:basedOn w:val="Normal"/>
    <w:link w:val="HeaderChar"/>
    <w:uiPriority w:val="99"/>
    <w:unhideWhenUsed/>
    <w:rsid w:val="00E72458"/>
    <w:pPr>
      <w:tabs>
        <w:tab w:val="center" w:pos="4513"/>
        <w:tab w:val="right" w:pos="9026"/>
      </w:tabs>
    </w:pPr>
  </w:style>
  <w:style w:type="character" w:customStyle="1" w:styleId="HeaderChar">
    <w:name w:val="Header Char"/>
    <w:basedOn w:val="DefaultParagraphFont"/>
    <w:link w:val="Header"/>
    <w:uiPriority w:val="99"/>
    <w:rsid w:val="00E72458"/>
  </w:style>
  <w:style w:type="paragraph" w:styleId="Footer">
    <w:name w:val="footer"/>
    <w:basedOn w:val="Normal"/>
    <w:link w:val="FooterChar"/>
    <w:uiPriority w:val="99"/>
    <w:unhideWhenUsed/>
    <w:rsid w:val="00E72458"/>
    <w:pPr>
      <w:tabs>
        <w:tab w:val="center" w:pos="4513"/>
        <w:tab w:val="right" w:pos="9026"/>
      </w:tabs>
    </w:pPr>
  </w:style>
  <w:style w:type="character" w:customStyle="1" w:styleId="FooterChar">
    <w:name w:val="Footer Char"/>
    <w:basedOn w:val="DefaultParagraphFont"/>
    <w:link w:val="Footer"/>
    <w:uiPriority w:val="99"/>
    <w:rsid w:val="00E72458"/>
  </w:style>
  <w:style w:type="paragraph" w:styleId="NormalWeb">
    <w:name w:val="Normal (Web)"/>
    <w:basedOn w:val="Normal"/>
    <w:uiPriority w:val="99"/>
    <w:semiHidden/>
    <w:unhideWhenUsed/>
    <w:rsid w:val="003D259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B7F93"/>
    <w:rPr>
      <w:i/>
      <w:iCs/>
    </w:rPr>
  </w:style>
  <w:style w:type="character" w:customStyle="1" w:styleId="apple-converted-space">
    <w:name w:val="apple-converted-space"/>
    <w:basedOn w:val="DefaultParagraphFont"/>
    <w:rsid w:val="003B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31854">
      <w:bodyDiv w:val="1"/>
      <w:marLeft w:val="0"/>
      <w:marRight w:val="0"/>
      <w:marTop w:val="0"/>
      <w:marBottom w:val="0"/>
      <w:divBdr>
        <w:top w:val="none" w:sz="0" w:space="0" w:color="auto"/>
        <w:left w:val="none" w:sz="0" w:space="0" w:color="auto"/>
        <w:bottom w:val="none" w:sz="0" w:space="0" w:color="auto"/>
        <w:right w:val="none" w:sz="0" w:space="0" w:color="auto"/>
      </w:divBdr>
    </w:div>
    <w:div w:id="179665320">
      <w:bodyDiv w:val="1"/>
      <w:marLeft w:val="0"/>
      <w:marRight w:val="0"/>
      <w:marTop w:val="0"/>
      <w:marBottom w:val="0"/>
      <w:divBdr>
        <w:top w:val="none" w:sz="0" w:space="0" w:color="auto"/>
        <w:left w:val="none" w:sz="0" w:space="0" w:color="auto"/>
        <w:bottom w:val="none" w:sz="0" w:space="0" w:color="auto"/>
        <w:right w:val="none" w:sz="0" w:space="0" w:color="auto"/>
      </w:divBdr>
    </w:div>
    <w:div w:id="181359733">
      <w:bodyDiv w:val="1"/>
      <w:marLeft w:val="0"/>
      <w:marRight w:val="0"/>
      <w:marTop w:val="0"/>
      <w:marBottom w:val="0"/>
      <w:divBdr>
        <w:top w:val="none" w:sz="0" w:space="0" w:color="auto"/>
        <w:left w:val="none" w:sz="0" w:space="0" w:color="auto"/>
        <w:bottom w:val="none" w:sz="0" w:space="0" w:color="auto"/>
        <w:right w:val="none" w:sz="0" w:space="0" w:color="auto"/>
      </w:divBdr>
      <w:divsChild>
        <w:div w:id="825323248">
          <w:marLeft w:val="0"/>
          <w:marRight w:val="0"/>
          <w:marTop w:val="0"/>
          <w:marBottom w:val="0"/>
          <w:divBdr>
            <w:top w:val="none" w:sz="0" w:space="0" w:color="auto"/>
            <w:left w:val="none" w:sz="0" w:space="0" w:color="auto"/>
            <w:bottom w:val="none" w:sz="0" w:space="0" w:color="auto"/>
            <w:right w:val="none" w:sz="0" w:space="0" w:color="auto"/>
          </w:divBdr>
          <w:divsChild>
            <w:div w:id="1827279437">
              <w:marLeft w:val="0"/>
              <w:marRight w:val="0"/>
              <w:marTop w:val="0"/>
              <w:marBottom w:val="0"/>
              <w:divBdr>
                <w:top w:val="none" w:sz="0" w:space="0" w:color="auto"/>
                <w:left w:val="none" w:sz="0" w:space="0" w:color="auto"/>
                <w:bottom w:val="none" w:sz="0" w:space="0" w:color="auto"/>
                <w:right w:val="none" w:sz="0" w:space="0" w:color="auto"/>
              </w:divBdr>
              <w:divsChild>
                <w:div w:id="18465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5664">
      <w:bodyDiv w:val="1"/>
      <w:marLeft w:val="0"/>
      <w:marRight w:val="0"/>
      <w:marTop w:val="0"/>
      <w:marBottom w:val="0"/>
      <w:divBdr>
        <w:top w:val="none" w:sz="0" w:space="0" w:color="auto"/>
        <w:left w:val="none" w:sz="0" w:space="0" w:color="auto"/>
        <w:bottom w:val="none" w:sz="0" w:space="0" w:color="auto"/>
        <w:right w:val="none" w:sz="0" w:space="0" w:color="auto"/>
      </w:divBdr>
      <w:divsChild>
        <w:div w:id="995842288">
          <w:marLeft w:val="0"/>
          <w:marRight w:val="0"/>
          <w:marTop w:val="0"/>
          <w:marBottom w:val="0"/>
          <w:divBdr>
            <w:top w:val="none" w:sz="0" w:space="0" w:color="auto"/>
            <w:left w:val="none" w:sz="0" w:space="0" w:color="auto"/>
            <w:bottom w:val="none" w:sz="0" w:space="0" w:color="auto"/>
            <w:right w:val="none" w:sz="0" w:space="0" w:color="auto"/>
          </w:divBdr>
          <w:divsChild>
            <w:div w:id="16662888">
              <w:marLeft w:val="0"/>
              <w:marRight w:val="0"/>
              <w:marTop w:val="0"/>
              <w:marBottom w:val="0"/>
              <w:divBdr>
                <w:top w:val="none" w:sz="0" w:space="0" w:color="auto"/>
                <w:left w:val="none" w:sz="0" w:space="0" w:color="auto"/>
                <w:bottom w:val="none" w:sz="0" w:space="0" w:color="auto"/>
                <w:right w:val="none" w:sz="0" w:space="0" w:color="auto"/>
              </w:divBdr>
              <w:divsChild>
                <w:div w:id="1965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3569">
      <w:bodyDiv w:val="1"/>
      <w:marLeft w:val="0"/>
      <w:marRight w:val="0"/>
      <w:marTop w:val="0"/>
      <w:marBottom w:val="0"/>
      <w:divBdr>
        <w:top w:val="none" w:sz="0" w:space="0" w:color="auto"/>
        <w:left w:val="none" w:sz="0" w:space="0" w:color="auto"/>
        <w:bottom w:val="none" w:sz="0" w:space="0" w:color="auto"/>
        <w:right w:val="none" w:sz="0" w:space="0" w:color="auto"/>
      </w:divBdr>
    </w:div>
    <w:div w:id="422726459">
      <w:bodyDiv w:val="1"/>
      <w:marLeft w:val="0"/>
      <w:marRight w:val="0"/>
      <w:marTop w:val="0"/>
      <w:marBottom w:val="0"/>
      <w:divBdr>
        <w:top w:val="none" w:sz="0" w:space="0" w:color="auto"/>
        <w:left w:val="none" w:sz="0" w:space="0" w:color="auto"/>
        <w:bottom w:val="none" w:sz="0" w:space="0" w:color="auto"/>
        <w:right w:val="none" w:sz="0" w:space="0" w:color="auto"/>
      </w:divBdr>
      <w:divsChild>
        <w:div w:id="1445610695">
          <w:marLeft w:val="0"/>
          <w:marRight w:val="0"/>
          <w:marTop w:val="0"/>
          <w:marBottom w:val="0"/>
          <w:divBdr>
            <w:top w:val="none" w:sz="0" w:space="0" w:color="auto"/>
            <w:left w:val="none" w:sz="0" w:space="0" w:color="auto"/>
            <w:bottom w:val="none" w:sz="0" w:space="0" w:color="auto"/>
            <w:right w:val="none" w:sz="0" w:space="0" w:color="auto"/>
          </w:divBdr>
          <w:divsChild>
            <w:div w:id="961888189">
              <w:marLeft w:val="0"/>
              <w:marRight w:val="0"/>
              <w:marTop w:val="0"/>
              <w:marBottom w:val="0"/>
              <w:divBdr>
                <w:top w:val="none" w:sz="0" w:space="0" w:color="auto"/>
                <w:left w:val="none" w:sz="0" w:space="0" w:color="auto"/>
                <w:bottom w:val="none" w:sz="0" w:space="0" w:color="auto"/>
                <w:right w:val="none" w:sz="0" w:space="0" w:color="auto"/>
              </w:divBdr>
              <w:divsChild>
                <w:div w:id="6781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7156">
      <w:bodyDiv w:val="1"/>
      <w:marLeft w:val="0"/>
      <w:marRight w:val="0"/>
      <w:marTop w:val="0"/>
      <w:marBottom w:val="0"/>
      <w:divBdr>
        <w:top w:val="none" w:sz="0" w:space="0" w:color="auto"/>
        <w:left w:val="none" w:sz="0" w:space="0" w:color="auto"/>
        <w:bottom w:val="none" w:sz="0" w:space="0" w:color="auto"/>
        <w:right w:val="none" w:sz="0" w:space="0" w:color="auto"/>
      </w:divBdr>
    </w:div>
    <w:div w:id="674957466">
      <w:bodyDiv w:val="1"/>
      <w:marLeft w:val="0"/>
      <w:marRight w:val="0"/>
      <w:marTop w:val="0"/>
      <w:marBottom w:val="0"/>
      <w:divBdr>
        <w:top w:val="none" w:sz="0" w:space="0" w:color="auto"/>
        <w:left w:val="none" w:sz="0" w:space="0" w:color="auto"/>
        <w:bottom w:val="none" w:sz="0" w:space="0" w:color="auto"/>
        <w:right w:val="none" w:sz="0" w:space="0" w:color="auto"/>
      </w:divBdr>
      <w:divsChild>
        <w:div w:id="2046908753">
          <w:marLeft w:val="0"/>
          <w:marRight w:val="0"/>
          <w:marTop w:val="0"/>
          <w:marBottom w:val="0"/>
          <w:divBdr>
            <w:top w:val="none" w:sz="0" w:space="0" w:color="auto"/>
            <w:left w:val="none" w:sz="0" w:space="0" w:color="auto"/>
            <w:bottom w:val="none" w:sz="0" w:space="0" w:color="auto"/>
            <w:right w:val="none" w:sz="0" w:space="0" w:color="auto"/>
          </w:divBdr>
          <w:divsChild>
            <w:div w:id="1668363141">
              <w:marLeft w:val="0"/>
              <w:marRight w:val="0"/>
              <w:marTop w:val="0"/>
              <w:marBottom w:val="0"/>
              <w:divBdr>
                <w:top w:val="none" w:sz="0" w:space="0" w:color="auto"/>
                <w:left w:val="none" w:sz="0" w:space="0" w:color="auto"/>
                <w:bottom w:val="none" w:sz="0" w:space="0" w:color="auto"/>
                <w:right w:val="none" w:sz="0" w:space="0" w:color="auto"/>
              </w:divBdr>
              <w:divsChild>
                <w:div w:id="21184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8413">
      <w:bodyDiv w:val="1"/>
      <w:marLeft w:val="0"/>
      <w:marRight w:val="0"/>
      <w:marTop w:val="0"/>
      <w:marBottom w:val="0"/>
      <w:divBdr>
        <w:top w:val="none" w:sz="0" w:space="0" w:color="auto"/>
        <w:left w:val="none" w:sz="0" w:space="0" w:color="auto"/>
        <w:bottom w:val="none" w:sz="0" w:space="0" w:color="auto"/>
        <w:right w:val="none" w:sz="0" w:space="0" w:color="auto"/>
      </w:divBdr>
      <w:divsChild>
        <w:div w:id="86316081">
          <w:marLeft w:val="0"/>
          <w:marRight w:val="0"/>
          <w:marTop w:val="0"/>
          <w:marBottom w:val="0"/>
          <w:divBdr>
            <w:top w:val="none" w:sz="0" w:space="0" w:color="auto"/>
            <w:left w:val="none" w:sz="0" w:space="0" w:color="auto"/>
            <w:bottom w:val="none" w:sz="0" w:space="0" w:color="auto"/>
            <w:right w:val="none" w:sz="0" w:space="0" w:color="auto"/>
          </w:divBdr>
          <w:divsChild>
            <w:div w:id="459543790">
              <w:marLeft w:val="0"/>
              <w:marRight w:val="0"/>
              <w:marTop w:val="0"/>
              <w:marBottom w:val="0"/>
              <w:divBdr>
                <w:top w:val="none" w:sz="0" w:space="0" w:color="auto"/>
                <w:left w:val="none" w:sz="0" w:space="0" w:color="auto"/>
                <w:bottom w:val="none" w:sz="0" w:space="0" w:color="auto"/>
                <w:right w:val="none" w:sz="0" w:space="0" w:color="auto"/>
              </w:divBdr>
              <w:divsChild>
                <w:div w:id="18540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36653">
      <w:bodyDiv w:val="1"/>
      <w:marLeft w:val="0"/>
      <w:marRight w:val="0"/>
      <w:marTop w:val="0"/>
      <w:marBottom w:val="0"/>
      <w:divBdr>
        <w:top w:val="none" w:sz="0" w:space="0" w:color="auto"/>
        <w:left w:val="none" w:sz="0" w:space="0" w:color="auto"/>
        <w:bottom w:val="none" w:sz="0" w:space="0" w:color="auto"/>
        <w:right w:val="none" w:sz="0" w:space="0" w:color="auto"/>
      </w:divBdr>
    </w:div>
    <w:div w:id="865141313">
      <w:bodyDiv w:val="1"/>
      <w:marLeft w:val="0"/>
      <w:marRight w:val="0"/>
      <w:marTop w:val="0"/>
      <w:marBottom w:val="0"/>
      <w:divBdr>
        <w:top w:val="none" w:sz="0" w:space="0" w:color="auto"/>
        <w:left w:val="none" w:sz="0" w:space="0" w:color="auto"/>
        <w:bottom w:val="none" w:sz="0" w:space="0" w:color="auto"/>
        <w:right w:val="none" w:sz="0" w:space="0" w:color="auto"/>
      </w:divBdr>
    </w:div>
    <w:div w:id="890458508">
      <w:bodyDiv w:val="1"/>
      <w:marLeft w:val="0"/>
      <w:marRight w:val="0"/>
      <w:marTop w:val="0"/>
      <w:marBottom w:val="0"/>
      <w:divBdr>
        <w:top w:val="none" w:sz="0" w:space="0" w:color="auto"/>
        <w:left w:val="none" w:sz="0" w:space="0" w:color="auto"/>
        <w:bottom w:val="none" w:sz="0" w:space="0" w:color="auto"/>
        <w:right w:val="none" w:sz="0" w:space="0" w:color="auto"/>
      </w:divBdr>
      <w:divsChild>
        <w:div w:id="52847958">
          <w:marLeft w:val="0"/>
          <w:marRight w:val="0"/>
          <w:marTop w:val="0"/>
          <w:marBottom w:val="0"/>
          <w:divBdr>
            <w:top w:val="none" w:sz="0" w:space="0" w:color="auto"/>
            <w:left w:val="none" w:sz="0" w:space="0" w:color="auto"/>
            <w:bottom w:val="none" w:sz="0" w:space="0" w:color="auto"/>
            <w:right w:val="none" w:sz="0" w:space="0" w:color="auto"/>
          </w:divBdr>
          <w:divsChild>
            <w:div w:id="124977459">
              <w:marLeft w:val="0"/>
              <w:marRight w:val="0"/>
              <w:marTop w:val="0"/>
              <w:marBottom w:val="0"/>
              <w:divBdr>
                <w:top w:val="none" w:sz="0" w:space="0" w:color="auto"/>
                <w:left w:val="none" w:sz="0" w:space="0" w:color="auto"/>
                <w:bottom w:val="none" w:sz="0" w:space="0" w:color="auto"/>
                <w:right w:val="none" w:sz="0" w:space="0" w:color="auto"/>
              </w:divBdr>
              <w:divsChild>
                <w:div w:id="9207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3194">
      <w:bodyDiv w:val="1"/>
      <w:marLeft w:val="0"/>
      <w:marRight w:val="0"/>
      <w:marTop w:val="0"/>
      <w:marBottom w:val="0"/>
      <w:divBdr>
        <w:top w:val="none" w:sz="0" w:space="0" w:color="auto"/>
        <w:left w:val="none" w:sz="0" w:space="0" w:color="auto"/>
        <w:bottom w:val="none" w:sz="0" w:space="0" w:color="auto"/>
        <w:right w:val="none" w:sz="0" w:space="0" w:color="auto"/>
      </w:divBdr>
      <w:divsChild>
        <w:div w:id="1243485884">
          <w:marLeft w:val="0"/>
          <w:marRight w:val="0"/>
          <w:marTop w:val="0"/>
          <w:marBottom w:val="0"/>
          <w:divBdr>
            <w:top w:val="none" w:sz="0" w:space="0" w:color="auto"/>
            <w:left w:val="none" w:sz="0" w:space="0" w:color="auto"/>
            <w:bottom w:val="none" w:sz="0" w:space="0" w:color="auto"/>
            <w:right w:val="none" w:sz="0" w:space="0" w:color="auto"/>
          </w:divBdr>
          <w:divsChild>
            <w:div w:id="683366962">
              <w:marLeft w:val="0"/>
              <w:marRight w:val="0"/>
              <w:marTop w:val="0"/>
              <w:marBottom w:val="0"/>
              <w:divBdr>
                <w:top w:val="none" w:sz="0" w:space="0" w:color="auto"/>
                <w:left w:val="none" w:sz="0" w:space="0" w:color="auto"/>
                <w:bottom w:val="none" w:sz="0" w:space="0" w:color="auto"/>
                <w:right w:val="none" w:sz="0" w:space="0" w:color="auto"/>
              </w:divBdr>
              <w:divsChild>
                <w:div w:id="12027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1381">
      <w:bodyDiv w:val="1"/>
      <w:marLeft w:val="0"/>
      <w:marRight w:val="0"/>
      <w:marTop w:val="0"/>
      <w:marBottom w:val="0"/>
      <w:divBdr>
        <w:top w:val="none" w:sz="0" w:space="0" w:color="auto"/>
        <w:left w:val="none" w:sz="0" w:space="0" w:color="auto"/>
        <w:bottom w:val="none" w:sz="0" w:space="0" w:color="auto"/>
        <w:right w:val="none" w:sz="0" w:space="0" w:color="auto"/>
      </w:divBdr>
    </w:div>
    <w:div w:id="1324090539">
      <w:bodyDiv w:val="1"/>
      <w:marLeft w:val="0"/>
      <w:marRight w:val="0"/>
      <w:marTop w:val="0"/>
      <w:marBottom w:val="0"/>
      <w:divBdr>
        <w:top w:val="none" w:sz="0" w:space="0" w:color="auto"/>
        <w:left w:val="none" w:sz="0" w:space="0" w:color="auto"/>
        <w:bottom w:val="none" w:sz="0" w:space="0" w:color="auto"/>
        <w:right w:val="none" w:sz="0" w:space="0" w:color="auto"/>
      </w:divBdr>
    </w:div>
    <w:div w:id="1398892957">
      <w:bodyDiv w:val="1"/>
      <w:marLeft w:val="0"/>
      <w:marRight w:val="0"/>
      <w:marTop w:val="0"/>
      <w:marBottom w:val="0"/>
      <w:divBdr>
        <w:top w:val="none" w:sz="0" w:space="0" w:color="auto"/>
        <w:left w:val="none" w:sz="0" w:space="0" w:color="auto"/>
        <w:bottom w:val="none" w:sz="0" w:space="0" w:color="auto"/>
        <w:right w:val="none" w:sz="0" w:space="0" w:color="auto"/>
      </w:divBdr>
      <w:divsChild>
        <w:div w:id="759568391">
          <w:marLeft w:val="0"/>
          <w:marRight w:val="0"/>
          <w:marTop w:val="0"/>
          <w:marBottom w:val="0"/>
          <w:divBdr>
            <w:top w:val="none" w:sz="0" w:space="0" w:color="auto"/>
            <w:left w:val="none" w:sz="0" w:space="0" w:color="auto"/>
            <w:bottom w:val="none" w:sz="0" w:space="0" w:color="auto"/>
            <w:right w:val="none" w:sz="0" w:space="0" w:color="auto"/>
          </w:divBdr>
          <w:divsChild>
            <w:div w:id="1776557576">
              <w:marLeft w:val="0"/>
              <w:marRight w:val="0"/>
              <w:marTop w:val="0"/>
              <w:marBottom w:val="0"/>
              <w:divBdr>
                <w:top w:val="none" w:sz="0" w:space="0" w:color="auto"/>
                <w:left w:val="none" w:sz="0" w:space="0" w:color="auto"/>
                <w:bottom w:val="none" w:sz="0" w:space="0" w:color="auto"/>
                <w:right w:val="none" w:sz="0" w:space="0" w:color="auto"/>
              </w:divBdr>
              <w:divsChild>
                <w:div w:id="601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8585">
      <w:bodyDiv w:val="1"/>
      <w:marLeft w:val="0"/>
      <w:marRight w:val="0"/>
      <w:marTop w:val="0"/>
      <w:marBottom w:val="0"/>
      <w:divBdr>
        <w:top w:val="none" w:sz="0" w:space="0" w:color="auto"/>
        <w:left w:val="none" w:sz="0" w:space="0" w:color="auto"/>
        <w:bottom w:val="none" w:sz="0" w:space="0" w:color="auto"/>
        <w:right w:val="none" w:sz="0" w:space="0" w:color="auto"/>
      </w:divBdr>
      <w:divsChild>
        <w:div w:id="1597983044">
          <w:marLeft w:val="0"/>
          <w:marRight w:val="0"/>
          <w:marTop w:val="0"/>
          <w:marBottom w:val="0"/>
          <w:divBdr>
            <w:top w:val="none" w:sz="0" w:space="0" w:color="auto"/>
            <w:left w:val="none" w:sz="0" w:space="0" w:color="auto"/>
            <w:bottom w:val="none" w:sz="0" w:space="0" w:color="auto"/>
            <w:right w:val="none" w:sz="0" w:space="0" w:color="auto"/>
          </w:divBdr>
          <w:divsChild>
            <w:div w:id="1678580006">
              <w:marLeft w:val="0"/>
              <w:marRight w:val="0"/>
              <w:marTop w:val="0"/>
              <w:marBottom w:val="0"/>
              <w:divBdr>
                <w:top w:val="none" w:sz="0" w:space="0" w:color="auto"/>
                <w:left w:val="none" w:sz="0" w:space="0" w:color="auto"/>
                <w:bottom w:val="none" w:sz="0" w:space="0" w:color="auto"/>
                <w:right w:val="none" w:sz="0" w:space="0" w:color="auto"/>
              </w:divBdr>
              <w:divsChild>
                <w:div w:id="10132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486">
      <w:bodyDiv w:val="1"/>
      <w:marLeft w:val="0"/>
      <w:marRight w:val="0"/>
      <w:marTop w:val="0"/>
      <w:marBottom w:val="0"/>
      <w:divBdr>
        <w:top w:val="none" w:sz="0" w:space="0" w:color="auto"/>
        <w:left w:val="none" w:sz="0" w:space="0" w:color="auto"/>
        <w:bottom w:val="none" w:sz="0" w:space="0" w:color="auto"/>
        <w:right w:val="none" w:sz="0" w:space="0" w:color="auto"/>
      </w:divBdr>
    </w:div>
    <w:div w:id="1829788618">
      <w:bodyDiv w:val="1"/>
      <w:marLeft w:val="0"/>
      <w:marRight w:val="0"/>
      <w:marTop w:val="0"/>
      <w:marBottom w:val="0"/>
      <w:divBdr>
        <w:top w:val="none" w:sz="0" w:space="0" w:color="auto"/>
        <w:left w:val="none" w:sz="0" w:space="0" w:color="auto"/>
        <w:bottom w:val="none" w:sz="0" w:space="0" w:color="auto"/>
        <w:right w:val="none" w:sz="0" w:space="0" w:color="auto"/>
      </w:divBdr>
      <w:divsChild>
        <w:div w:id="624893286">
          <w:marLeft w:val="0"/>
          <w:marRight w:val="0"/>
          <w:marTop w:val="0"/>
          <w:marBottom w:val="0"/>
          <w:divBdr>
            <w:top w:val="none" w:sz="0" w:space="0" w:color="auto"/>
            <w:left w:val="none" w:sz="0" w:space="0" w:color="auto"/>
            <w:bottom w:val="none" w:sz="0" w:space="0" w:color="auto"/>
            <w:right w:val="none" w:sz="0" w:space="0" w:color="auto"/>
          </w:divBdr>
          <w:divsChild>
            <w:div w:id="1171532200">
              <w:marLeft w:val="0"/>
              <w:marRight w:val="0"/>
              <w:marTop w:val="0"/>
              <w:marBottom w:val="0"/>
              <w:divBdr>
                <w:top w:val="none" w:sz="0" w:space="0" w:color="auto"/>
                <w:left w:val="none" w:sz="0" w:space="0" w:color="auto"/>
                <w:bottom w:val="none" w:sz="0" w:space="0" w:color="auto"/>
                <w:right w:val="none" w:sz="0" w:space="0" w:color="auto"/>
              </w:divBdr>
              <w:divsChild>
                <w:div w:id="16249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0568">
      <w:bodyDiv w:val="1"/>
      <w:marLeft w:val="0"/>
      <w:marRight w:val="0"/>
      <w:marTop w:val="0"/>
      <w:marBottom w:val="0"/>
      <w:divBdr>
        <w:top w:val="none" w:sz="0" w:space="0" w:color="auto"/>
        <w:left w:val="none" w:sz="0" w:space="0" w:color="auto"/>
        <w:bottom w:val="none" w:sz="0" w:space="0" w:color="auto"/>
        <w:right w:val="none" w:sz="0" w:space="0" w:color="auto"/>
      </w:divBdr>
      <w:divsChild>
        <w:div w:id="1340696109">
          <w:marLeft w:val="0"/>
          <w:marRight w:val="0"/>
          <w:marTop w:val="0"/>
          <w:marBottom w:val="0"/>
          <w:divBdr>
            <w:top w:val="none" w:sz="0" w:space="0" w:color="auto"/>
            <w:left w:val="none" w:sz="0" w:space="0" w:color="auto"/>
            <w:bottom w:val="none" w:sz="0" w:space="0" w:color="auto"/>
            <w:right w:val="none" w:sz="0" w:space="0" w:color="auto"/>
          </w:divBdr>
          <w:divsChild>
            <w:div w:id="1183666784">
              <w:marLeft w:val="0"/>
              <w:marRight w:val="0"/>
              <w:marTop w:val="0"/>
              <w:marBottom w:val="0"/>
              <w:divBdr>
                <w:top w:val="none" w:sz="0" w:space="0" w:color="auto"/>
                <w:left w:val="none" w:sz="0" w:space="0" w:color="auto"/>
                <w:bottom w:val="none" w:sz="0" w:space="0" w:color="auto"/>
                <w:right w:val="none" w:sz="0" w:space="0" w:color="auto"/>
              </w:divBdr>
              <w:divsChild>
                <w:div w:id="9064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68832">
      <w:bodyDiv w:val="1"/>
      <w:marLeft w:val="0"/>
      <w:marRight w:val="0"/>
      <w:marTop w:val="0"/>
      <w:marBottom w:val="0"/>
      <w:divBdr>
        <w:top w:val="none" w:sz="0" w:space="0" w:color="auto"/>
        <w:left w:val="none" w:sz="0" w:space="0" w:color="auto"/>
        <w:bottom w:val="none" w:sz="0" w:space="0" w:color="auto"/>
        <w:right w:val="none" w:sz="0" w:space="0" w:color="auto"/>
      </w:divBdr>
      <w:divsChild>
        <w:div w:id="1539588530">
          <w:marLeft w:val="0"/>
          <w:marRight w:val="0"/>
          <w:marTop w:val="0"/>
          <w:marBottom w:val="0"/>
          <w:divBdr>
            <w:top w:val="none" w:sz="0" w:space="0" w:color="auto"/>
            <w:left w:val="none" w:sz="0" w:space="0" w:color="auto"/>
            <w:bottom w:val="none" w:sz="0" w:space="0" w:color="auto"/>
            <w:right w:val="none" w:sz="0" w:space="0" w:color="auto"/>
          </w:divBdr>
          <w:divsChild>
            <w:div w:id="228197579">
              <w:marLeft w:val="0"/>
              <w:marRight w:val="0"/>
              <w:marTop w:val="0"/>
              <w:marBottom w:val="0"/>
              <w:divBdr>
                <w:top w:val="none" w:sz="0" w:space="0" w:color="auto"/>
                <w:left w:val="none" w:sz="0" w:space="0" w:color="auto"/>
                <w:bottom w:val="none" w:sz="0" w:space="0" w:color="auto"/>
                <w:right w:val="none" w:sz="0" w:space="0" w:color="auto"/>
              </w:divBdr>
              <w:divsChild>
                <w:div w:id="15453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8912">
      <w:bodyDiv w:val="1"/>
      <w:marLeft w:val="0"/>
      <w:marRight w:val="0"/>
      <w:marTop w:val="0"/>
      <w:marBottom w:val="0"/>
      <w:divBdr>
        <w:top w:val="none" w:sz="0" w:space="0" w:color="auto"/>
        <w:left w:val="none" w:sz="0" w:space="0" w:color="auto"/>
        <w:bottom w:val="none" w:sz="0" w:space="0" w:color="auto"/>
        <w:right w:val="none" w:sz="0" w:space="0" w:color="auto"/>
      </w:divBdr>
      <w:divsChild>
        <w:div w:id="1584947977">
          <w:marLeft w:val="0"/>
          <w:marRight w:val="0"/>
          <w:marTop w:val="0"/>
          <w:marBottom w:val="0"/>
          <w:divBdr>
            <w:top w:val="none" w:sz="0" w:space="0" w:color="auto"/>
            <w:left w:val="none" w:sz="0" w:space="0" w:color="auto"/>
            <w:bottom w:val="none" w:sz="0" w:space="0" w:color="auto"/>
            <w:right w:val="none" w:sz="0" w:space="0" w:color="auto"/>
          </w:divBdr>
          <w:divsChild>
            <w:div w:id="643655256">
              <w:marLeft w:val="0"/>
              <w:marRight w:val="0"/>
              <w:marTop w:val="0"/>
              <w:marBottom w:val="0"/>
              <w:divBdr>
                <w:top w:val="none" w:sz="0" w:space="0" w:color="auto"/>
                <w:left w:val="none" w:sz="0" w:space="0" w:color="auto"/>
                <w:bottom w:val="none" w:sz="0" w:space="0" w:color="auto"/>
                <w:right w:val="none" w:sz="0" w:space="0" w:color="auto"/>
              </w:divBdr>
              <w:divsChild>
                <w:div w:id="19975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B2E64-7B07-6743-9766-7F5CFA9FD0D5}">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20</Pages>
  <Words>6757</Words>
  <Characters>38517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Stokes</dc:creator>
  <cp:keywords/>
  <dc:description/>
  <cp:lastModifiedBy>Elen Stokes</cp:lastModifiedBy>
  <cp:revision>2</cp:revision>
  <cp:lastPrinted>2022-01-06T09:38:00Z</cp:lastPrinted>
  <dcterms:created xsi:type="dcterms:W3CDTF">2022-09-09T09:22:00Z</dcterms:created>
  <dcterms:modified xsi:type="dcterms:W3CDTF">2022-09-09T09:22:00Z</dcterms:modified>
</cp:coreProperties>
</file>