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CB3BD" w14:textId="2D8CE6AB" w:rsidR="005A1797" w:rsidRPr="00822D0A" w:rsidRDefault="005A1797" w:rsidP="00016A6E">
      <w:pPr>
        <w:spacing w:line="276" w:lineRule="auto"/>
        <w:rPr>
          <w:rFonts w:asciiTheme="minorHAnsi" w:hAnsiTheme="minorHAnsi" w:cstheme="minorHAnsi"/>
          <w:b/>
          <w:bCs/>
          <w:color w:val="000000" w:themeColor="text1"/>
          <w:sz w:val="28"/>
          <w:szCs w:val="28"/>
        </w:rPr>
      </w:pPr>
      <w:r w:rsidRPr="00822D0A">
        <w:rPr>
          <w:rFonts w:asciiTheme="minorHAnsi" w:hAnsiTheme="minorHAnsi" w:cstheme="minorHAnsi"/>
          <w:b/>
          <w:bCs/>
          <w:color w:val="000000" w:themeColor="text1"/>
          <w:sz w:val="28"/>
          <w:szCs w:val="28"/>
        </w:rPr>
        <w:t xml:space="preserve">Assessing the therapeutic potential of </w:t>
      </w:r>
      <w:r w:rsidRPr="00822D0A">
        <w:rPr>
          <w:rFonts w:asciiTheme="minorHAnsi" w:hAnsiTheme="minorHAnsi" w:cstheme="minorHAnsi"/>
          <w:b/>
          <w:bCs/>
          <w:color w:val="000000" w:themeColor="text1"/>
          <w:sz w:val="28"/>
          <w:szCs w:val="28"/>
          <w:vertAlign w:val="superscript"/>
        </w:rPr>
        <w:t>177</w:t>
      </w:r>
      <w:r w:rsidRPr="00822D0A">
        <w:rPr>
          <w:rFonts w:asciiTheme="minorHAnsi" w:hAnsiTheme="minorHAnsi" w:cstheme="minorHAnsi"/>
          <w:b/>
          <w:bCs/>
          <w:color w:val="000000" w:themeColor="text1"/>
          <w:sz w:val="28"/>
          <w:szCs w:val="28"/>
        </w:rPr>
        <w:t>Lu-DOTATATE in neuroendocrine tumours: a systematic literature review</w:t>
      </w:r>
    </w:p>
    <w:p w14:paraId="3E11686C" w14:textId="5E2D28DD" w:rsidR="005A1797" w:rsidRPr="00822D0A" w:rsidRDefault="005A1797" w:rsidP="00016A6E">
      <w:pPr>
        <w:spacing w:line="276" w:lineRule="auto"/>
        <w:rPr>
          <w:rFonts w:asciiTheme="minorHAnsi" w:hAnsiTheme="minorHAnsi" w:cstheme="minorHAnsi"/>
          <w:color w:val="000000" w:themeColor="text1"/>
        </w:rPr>
      </w:pPr>
      <w:r w:rsidRPr="00822D0A">
        <w:rPr>
          <w:rFonts w:asciiTheme="minorHAnsi" w:hAnsiTheme="minorHAnsi" w:cstheme="minorHAnsi"/>
          <w:color w:val="000000" w:themeColor="text1"/>
        </w:rPr>
        <w:t>Lauren Thompson, Erica Chivers, Nick Courtier</w:t>
      </w:r>
    </w:p>
    <w:p w14:paraId="484DF5EB" w14:textId="0A1761D9" w:rsidR="00016A6E" w:rsidRPr="005A1797" w:rsidRDefault="00016A6E" w:rsidP="00CF542C">
      <w:pPr>
        <w:spacing w:before="240" w:after="240" w:line="276" w:lineRule="auto"/>
        <w:rPr>
          <w:rFonts w:asciiTheme="minorHAnsi" w:hAnsiTheme="minorHAnsi" w:cstheme="minorHAnsi"/>
        </w:rPr>
      </w:pPr>
      <w:r w:rsidRPr="005A1797">
        <w:rPr>
          <w:rFonts w:asciiTheme="minorHAnsi" w:hAnsiTheme="minorHAnsi" w:cstheme="minorHAnsi"/>
          <w:b/>
          <w:bCs/>
          <w:color w:val="000000" w:themeColor="text1"/>
          <w:sz w:val="28"/>
          <w:szCs w:val="28"/>
        </w:rPr>
        <w:t>Introduction</w:t>
      </w:r>
    </w:p>
    <w:p w14:paraId="39D18E31" w14:textId="6CEE8E08" w:rsidR="00016A6E" w:rsidRDefault="00016A6E" w:rsidP="005A1797">
      <w:pPr>
        <w:spacing w:after="240" w:line="276" w:lineRule="auto"/>
        <w:rPr>
          <w:rFonts w:asciiTheme="minorHAnsi" w:hAnsiTheme="minorHAnsi" w:cstheme="minorHAnsi"/>
          <w:color w:val="000000" w:themeColor="text1"/>
        </w:rPr>
      </w:pPr>
      <w:r w:rsidRPr="006868B4">
        <w:rPr>
          <w:rFonts w:asciiTheme="minorHAnsi" w:hAnsiTheme="minorHAnsi" w:cstheme="minorHAnsi"/>
          <w:color w:val="000000" w:themeColor="text1"/>
        </w:rPr>
        <w:t xml:space="preserve">Neuroendocrine tumours [NETs] </w:t>
      </w:r>
      <w:r>
        <w:rPr>
          <w:rFonts w:asciiTheme="minorHAnsi" w:hAnsiTheme="minorHAnsi" w:cstheme="minorHAnsi"/>
          <w:color w:val="000000" w:themeColor="text1"/>
        </w:rPr>
        <w:t xml:space="preserve">is a term for </w:t>
      </w:r>
      <w:r w:rsidRPr="006868B4">
        <w:rPr>
          <w:rFonts w:asciiTheme="minorHAnsi" w:hAnsiTheme="minorHAnsi" w:cstheme="minorHAnsi"/>
          <w:color w:val="000000" w:themeColor="text1"/>
        </w:rPr>
        <w:t xml:space="preserve">rare </w:t>
      </w:r>
      <w:r>
        <w:rPr>
          <w:rFonts w:asciiTheme="minorHAnsi" w:hAnsiTheme="minorHAnsi" w:cstheme="minorHAnsi"/>
          <w:color w:val="000000" w:themeColor="text1"/>
        </w:rPr>
        <w:t>malignancies that</w:t>
      </w:r>
      <w:r w:rsidRPr="006868B4">
        <w:rPr>
          <w:rFonts w:asciiTheme="minorHAnsi" w:hAnsiTheme="minorHAnsi" w:cstheme="minorHAnsi"/>
          <w:color w:val="000000" w:themeColor="text1"/>
        </w:rPr>
        <w:t xml:space="preserve"> can</w:t>
      </w:r>
      <w:r>
        <w:rPr>
          <w:rFonts w:asciiTheme="minorHAnsi" w:hAnsiTheme="minorHAnsi" w:cstheme="minorHAnsi"/>
          <w:color w:val="000000" w:themeColor="text1"/>
        </w:rPr>
        <w:t xml:space="preserve"> arise </w:t>
      </w:r>
      <w:r w:rsidRPr="006868B4">
        <w:rPr>
          <w:rFonts w:asciiTheme="minorHAnsi" w:hAnsiTheme="minorHAnsi" w:cstheme="minorHAnsi"/>
          <w:color w:val="000000" w:themeColor="text1"/>
        </w:rPr>
        <w:t>anywhere in the body</w:t>
      </w:r>
      <w:r>
        <w:rPr>
          <w:rFonts w:asciiTheme="minorHAnsi" w:hAnsiTheme="minorHAnsi" w:cstheme="minorHAnsi"/>
          <w:color w:val="000000" w:themeColor="text1"/>
        </w:rPr>
        <w:t>. B</w:t>
      </w:r>
      <w:r w:rsidRPr="006868B4">
        <w:rPr>
          <w:rFonts w:asciiTheme="minorHAnsi" w:hAnsiTheme="minorHAnsi" w:cstheme="minorHAnsi"/>
          <w:color w:val="000000" w:themeColor="text1"/>
        </w:rPr>
        <w:t>etween 1995</w:t>
      </w:r>
      <w:r>
        <w:rPr>
          <w:rFonts w:asciiTheme="minorHAnsi" w:hAnsiTheme="minorHAnsi" w:cstheme="minorHAnsi"/>
          <w:color w:val="000000" w:themeColor="text1"/>
        </w:rPr>
        <w:t xml:space="preserve"> and </w:t>
      </w:r>
      <w:r w:rsidRPr="006868B4">
        <w:rPr>
          <w:rFonts w:asciiTheme="minorHAnsi" w:hAnsiTheme="minorHAnsi" w:cstheme="minorHAnsi"/>
          <w:color w:val="000000" w:themeColor="text1"/>
        </w:rPr>
        <w:t>2018 there was a 371% rise in cases per 100,000</w:t>
      </w:r>
      <w:r w:rsidR="005A1797">
        <w:rPr>
          <w:rFonts w:asciiTheme="minorHAnsi" w:hAnsiTheme="minorHAnsi" w:cstheme="minorHAnsi"/>
          <w:color w:val="000000" w:themeColor="text1"/>
        </w:rPr>
        <w:t>.</w:t>
      </w:r>
      <w:r w:rsidR="005A1797">
        <w:rPr>
          <w:rFonts w:asciiTheme="minorHAnsi" w:hAnsiTheme="minorHAnsi" w:cstheme="minorHAnsi"/>
          <w:color w:val="000000" w:themeColor="text1"/>
          <w:vertAlign w:val="superscript"/>
        </w:rPr>
        <w:t>1</w:t>
      </w:r>
      <w:r w:rsidRPr="006868B4">
        <w:rPr>
          <w:rFonts w:asciiTheme="minorHAnsi" w:hAnsiTheme="minorHAnsi" w:cstheme="minorHAnsi"/>
          <w:color w:val="000000" w:themeColor="text1"/>
        </w:rPr>
        <w:t xml:space="preserve"> </w:t>
      </w:r>
      <w:r>
        <w:rPr>
          <w:rFonts w:asciiTheme="minorHAnsi" w:hAnsiTheme="minorHAnsi" w:cstheme="minorHAnsi"/>
          <w:color w:val="000000" w:themeColor="text1"/>
        </w:rPr>
        <w:t>Although r</w:t>
      </w:r>
      <w:r w:rsidRPr="006868B4">
        <w:rPr>
          <w:rFonts w:asciiTheme="minorHAnsi" w:hAnsiTheme="minorHAnsi" w:cstheme="minorHAnsi"/>
          <w:color w:val="000000" w:themeColor="text1"/>
        </w:rPr>
        <w:t>easons for th</w:t>
      </w:r>
      <w:r>
        <w:rPr>
          <w:rFonts w:asciiTheme="minorHAnsi" w:hAnsiTheme="minorHAnsi" w:cstheme="minorHAnsi"/>
          <w:color w:val="000000" w:themeColor="text1"/>
        </w:rPr>
        <w:t>is</w:t>
      </w:r>
      <w:r w:rsidRPr="006868B4">
        <w:rPr>
          <w:rFonts w:asciiTheme="minorHAnsi" w:hAnsiTheme="minorHAnsi" w:cstheme="minorHAnsi"/>
          <w:color w:val="000000" w:themeColor="text1"/>
        </w:rPr>
        <w:t xml:space="preserve"> increase</w:t>
      </w:r>
      <w:r>
        <w:rPr>
          <w:rFonts w:asciiTheme="minorHAnsi" w:hAnsiTheme="minorHAnsi" w:cstheme="minorHAnsi"/>
          <w:color w:val="000000" w:themeColor="text1"/>
        </w:rPr>
        <w:t xml:space="preserve"> in incidence is unclear, developing effective therapies is a priority as treatment options remain limited. </w:t>
      </w:r>
    </w:p>
    <w:p w14:paraId="2B34BDD1" w14:textId="6BC12A55" w:rsidR="00016A6E" w:rsidRPr="006868B4" w:rsidRDefault="00016A6E" w:rsidP="00016A6E">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T</w:t>
      </w:r>
      <w:r w:rsidRPr="006868B4">
        <w:rPr>
          <w:rFonts w:asciiTheme="minorHAnsi" w:hAnsiTheme="minorHAnsi" w:cstheme="minorHAnsi"/>
          <w:color w:val="000000" w:themeColor="text1"/>
        </w:rPr>
        <w:t xml:space="preserve">umour characteristics </w:t>
      </w:r>
      <w:r>
        <w:rPr>
          <w:rFonts w:asciiTheme="minorHAnsi" w:hAnsiTheme="minorHAnsi" w:cstheme="minorHAnsi"/>
          <w:color w:val="000000" w:themeColor="text1"/>
        </w:rPr>
        <w:t>of NETs determine the available therapeutic options</w:t>
      </w:r>
      <w:r w:rsidR="005A1797">
        <w:rPr>
          <w:rFonts w:asciiTheme="minorHAnsi" w:hAnsiTheme="minorHAnsi" w:cstheme="minorHAnsi"/>
          <w:color w:val="000000" w:themeColor="text1"/>
        </w:rPr>
        <w:t>.</w:t>
      </w:r>
      <w:r w:rsidRPr="00C260E8">
        <w:rPr>
          <w:rFonts w:asciiTheme="minorHAnsi" w:hAnsiTheme="minorHAnsi" w:cstheme="minorHAnsi"/>
          <w:color w:val="000000" w:themeColor="text1"/>
          <w:vertAlign w:val="superscript"/>
        </w:rPr>
        <w:t>2</w:t>
      </w:r>
      <w:r>
        <w:rPr>
          <w:rFonts w:asciiTheme="minorHAnsi" w:hAnsiTheme="minorHAnsi" w:cstheme="minorHAnsi"/>
          <w:color w:val="000000" w:themeColor="text1"/>
        </w:rPr>
        <w:t xml:space="preserve"> These characteristics vary among the different subtypes, which arise from cells of the neuroendocrine system. </w:t>
      </w:r>
      <w:r w:rsidRPr="006868B4">
        <w:rPr>
          <w:rFonts w:asciiTheme="minorHAnsi" w:hAnsiTheme="minorHAnsi" w:cstheme="minorHAnsi"/>
          <w:color w:val="000000" w:themeColor="text1"/>
        </w:rPr>
        <w:t xml:space="preserve">A modern therapeutic development for NETs </w:t>
      </w:r>
      <w:r>
        <w:rPr>
          <w:rFonts w:asciiTheme="minorHAnsi" w:hAnsiTheme="minorHAnsi" w:cstheme="minorHAnsi"/>
          <w:color w:val="000000" w:themeColor="text1"/>
        </w:rPr>
        <w:t xml:space="preserve">that express receptors for somatostatin is the peptide receptor radionuclide therapy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w:t>
      </w:r>
      <w:r w:rsidR="005A1797">
        <w:rPr>
          <w:rFonts w:asciiTheme="minorHAnsi" w:hAnsiTheme="minorHAnsi" w:cstheme="minorHAnsi"/>
          <w:color w:val="000000" w:themeColor="text1"/>
        </w:rPr>
        <w:t>.</w:t>
      </w:r>
      <w:r w:rsidR="005A1797" w:rsidRPr="005A1797">
        <w:rPr>
          <w:rFonts w:asciiTheme="minorHAnsi" w:hAnsiTheme="minorHAnsi" w:cstheme="minorHAnsi"/>
          <w:color w:val="000000" w:themeColor="text1"/>
          <w:vertAlign w:val="superscript"/>
        </w:rPr>
        <w:t>3</w:t>
      </w:r>
      <w:r>
        <w:rPr>
          <w:rFonts w:asciiTheme="minorHAnsi" w:hAnsiTheme="minorHAnsi" w:cstheme="minorHAnsi"/>
          <w:color w:val="000000" w:themeColor="text1"/>
        </w:rPr>
        <w:t xml:space="preserve">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 is a beta</w:t>
      </w:r>
      <w:r>
        <w:rPr>
          <w:rFonts w:asciiTheme="minorHAnsi" w:hAnsiTheme="minorHAnsi" w:cstheme="minorHAnsi"/>
          <w:color w:val="000000" w:themeColor="text1"/>
        </w:rPr>
        <w:t>-</w:t>
      </w:r>
      <w:r w:rsidRPr="006868B4">
        <w:rPr>
          <w:rFonts w:asciiTheme="minorHAnsi" w:hAnsiTheme="minorHAnsi" w:cstheme="minorHAnsi"/>
          <w:color w:val="000000" w:themeColor="text1"/>
        </w:rPr>
        <w:t xml:space="preserve">emitting radioisotope, whilst DOTATATE refers to the carrier molecule, which is a </w:t>
      </w:r>
      <w:r>
        <w:rPr>
          <w:rFonts w:asciiTheme="minorHAnsi" w:hAnsiTheme="minorHAnsi" w:cstheme="minorHAnsi"/>
          <w:color w:val="000000" w:themeColor="text1"/>
        </w:rPr>
        <w:t xml:space="preserve">synthetic </w:t>
      </w:r>
      <w:r w:rsidRPr="006868B4">
        <w:rPr>
          <w:rFonts w:asciiTheme="minorHAnsi" w:hAnsiTheme="minorHAnsi" w:cstheme="minorHAnsi"/>
          <w:color w:val="000000" w:themeColor="text1"/>
        </w:rPr>
        <w:t>somatostatin receptor</w:t>
      </w:r>
      <w:r>
        <w:rPr>
          <w:rFonts w:asciiTheme="minorHAnsi" w:hAnsiTheme="minorHAnsi" w:cstheme="minorHAnsi"/>
          <w:color w:val="000000" w:themeColor="text1"/>
        </w:rPr>
        <w:t xml:space="preserve"> agonist</w:t>
      </w:r>
      <w:r w:rsidRPr="006868B4">
        <w:rPr>
          <w:rFonts w:asciiTheme="minorHAnsi" w:hAnsiTheme="minorHAnsi" w:cstheme="minorHAnsi"/>
          <w:color w:val="000000" w:themeColor="text1"/>
        </w:rPr>
        <w:t>, that binds to the somatostatin peptide surface receptors on the tumour</w:t>
      </w:r>
      <w:r>
        <w:rPr>
          <w:rFonts w:asciiTheme="minorHAnsi" w:hAnsiTheme="minorHAnsi" w:cstheme="minorHAnsi"/>
          <w:color w:val="000000" w:themeColor="text1"/>
        </w:rPr>
        <w:t>. The emission of beta radiation causes the localised double-strand</w:t>
      </w:r>
      <w:r w:rsidRPr="006868B4">
        <w:rPr>
          <w:rFonts w:asciiTheme="minorHAnsi" w:hAnsiTheme="minorHAnsi" w:cstheme="minorHAnsi"/>
          <w:color w:val="000000" w:themeColor="text1"/>
        </w:rPr>
        <w:t xml:space="preserve"> </w:t>
      </w:r>
      <w:r>
        <w:rPr>
          <w:rFonts w:asciiTheme="minorHAnsi" w:hAnsiTheme="minorHAnsi" w:cstheme="minorHAnsi"/>
          <w:color w:val="000000" w:themeColor="text1"/>
        </w:rPr>
        <w:t>DNA breaks which induce apoptosis</w:t>
      </w:r>
      <w:r w:rsidR="005A1797">
        <w:rPr>
          <w:rFonts w:asciiTheme="minorHAnsi" w:hAnsiTheme="minorHAnsi" w:cstheme="minorHAnsi"/>
          <w:color w:val="000000" w:themeColor="text1"/>
        </w:rPr>
        <w:t>.</w:t>
      </w:r>
      <w:r w:rsidRPr="00C260E8">
        <w:rPr>
          <w:rFonts w:asciiTheme="minorHAnsi" w:hAnsiTheme="minorHAnsi" w:cstheme="minorHAnsi"/>
          <w:color w:val="000000" w:themeColor="text1"/>
          <w:vertAlign w:val="superscript"/>
        </w:rPr>
        <w:t>(</w:t>
      </w:r>
      <w:r w:rsidR="005A1797">
        <w:rPr>
          <w:rFonts w:asciiTheme="minorHAnsi" w:hAnsiTheme="minorHAnsi" w:cstheme="minorHAnsi"/>
          <w:color w:val="000000" w:themeColor="text1"/>
          <w:vertAlign w:val="superscript"/>
        </w:rPr>
        <w:t>3</w:t>
      </w:r>
      <w:r w:rsidRPr="00C260E8">
        <w:rPr>
          <w:rFonts w:asciiTheme="minorHAnsi" w:hAnsiTheme="minorHAnsi" w:cstheme="minorHAnsi"/>
          <w:color w:val="000000" w:themeColor="text1"/>
          <w:vertAlign w:val="superscript"/>
        </w:rPr>
        <w:t xml:space="preserve">, </w:t>
      </w:r>
      <w:r w:rsidR="005A1797">
        <w:rPr>
          <w:rFonts w:asciiTheme="minorHAnsi" w:hAnsiTheme="minorHAnsi" w:cstheme="minorHAnsi"/>
          <w:color w:val="000000" w:themeColor="text1"/>
          <w:vertAlign w:val="superscript"/>
        </w:rPr>
        <w:t>4</w:t>
      </w:r>
      <w:r w:rsidRPr="00C260E8">
        <w:rPr>
          <w:rFonts w:asciiTheme="minorHAnsi" w:hAnsiTheme="minorHAnsi" w:cstheme="minorHAnsi"/>
          <w:color w:val="000000" w:themeColor="text1"/>
          <w:vertAlign w:val="superscript"/>
        </w:rPr>
        <w:t>)</w:t>
      </w:r>
    </w:p>
    <w:p w14:paraId="2162BCF1" w14:textId="552A0B15" w:rsidR="00016A6E" w:rsidRPr="005A1797" w:rsidRDefault="00016A6E" w:rsidP="005A1797">
      <w:pPr>
        <w:spacing w:before="240" w:line="276" w:lineRule="auto"/>
        <w:rPr>
          <w:rFonts w:asciiTheme="minorHAnsi" w:hAnsiTheme="minorHAnsi" w:cstheme="minorHAnsi"/>
          <w:color w:val="000000" w:themeColor="text1"/>
          <w:sz w:val="20"/>
          <w:szCs w:val="20"/>
          <w:vertAlign w:val="superscript"/>
        </w:rPr>
      </w:pPr>
      <w:r>
        <w:rPr>
          <w:rFonts w:asciiTheme="minorHAnsi" w:hAnsiTheme="minorHAnsi" w:cstheme="minorHAnsi"/>
          <w:color w:val="000000" w:themeColor="text1"/>
        </w:rPr>
        <w:t xml:space="preserve">Therapy </w:t>
      </w:r>
      <w:r w:rsidRPr="00527E4E">
        <w:rPr>
          <w:rFonts w:asciiTheme="minorHAnsi" w:hAnsiTheme="minorHAnsi" w:cstheme="minorHAnsi"/>
          <w:color w:val="000000" w:themeColor="text1"/>
        </w:rPr>
        <w:t>was approved in Europe</w:t>
      </w:r>
      <w:r>
        <w:rPr>
          <w:rFonts w:asciiTheme="minorHAnsi" w:hAnsiTheme="minorHAnsi" w:cstheme="minorHAnsi"/>
          <w:color w:val="000000" w:themeColor="text1"/>
        </w:rPr>
        <w:t xml:space="preserve"> in 2017</w:t>
      </w:r>
      <w:r w:rsidRPr="00527E4E">
        <w:rPr>
          <w:rFonts w:asciiTheme="minorHAnsi" w:hAnsiTheme="minorHAnsi" w:cstheme="minorHAnsi"/>
          <w:color w:val="000000" w:themeColor="text1"/>
        </w:rPr>
        <w:t xml:space="preserve"> followed by the USA in January 2018</w:t>
      </w:r>
      <w:r w:rsidRPr="006868B4">
        <w:rPr>
          <w:rFonts w:asciiTheme="minorHAnsi" w:hAnsiTheme="minorHAnsi" w:cstheme="minorHAnsi"/>
          <w:color w:val="000000" w:themeColor="text1"/>
        </w:rPr>
        <w:t xml:space="preserve"> for adult patients with somatostatin receptor positive </w:t>
      </w:r>
      <w:proofErr w:type="spellStart"/>
      <w:r>
        <w:rPr>
          <w:rFonts w:asciiTheme="minorHAnsi" w:hAnsiTheme="minorHAnsi" w:cstheme="minorHAnsi"/>
          <w:color w:val="000000" w:themeColor="text1"/>
        </w:rPr>
        <w:t>gastroenteropancreatic</w:t>
      </w:r>
      <w:proofErr w:type="spellEnd"/>
      <w:r>
        <w:rPr>
          <w:rFonts w:asciiTheme="minorHAnsi" w:hAnsiTheme="minorHAnsi" w:cstheme="minorHAnsi"/>
          <w:color w:val="000000" w:themeColor="text1"/>
        </w:rPr>
        <w:t xml:space="preserve"> [</w:t>
      </w:r>
      <w:r w:rsidRPr="006868B4">
        <w:rPr>
          <w:rFonts w:asciiTheme="minorHAnsi" w:hAnsiTheme="minorHAnsi" w:cstheme="minorHAnsi"/>
          <w:color w:val="000000" w:themeColor="text1"/>
        </w:rPr>
        <w:t>GEP</w:t>
      </w:r>
      <w:r>
        <w:rPr>
          <w:rFonts w:asciiTheme="minorHAnsi" w:hAnsiTheme="minorHAnsi" w:cstheme="minorHAnsi"/>
          <w:color w:val="000000" w:themeColor="text1"/>
        </w:rPr>
        <w:t>]-</w:t>
      </w:r>
      <w:r w:rsidRPr="006868B4">
        <w:rPr>
          <w:rFonts w:asciiTheme="minorHAnsi" w:hAnsiTheme="minorHAnsi" w:cstheme="minorHAnsi"/>
          <w:color w:val="000000" w:themeColor="text1"/>
        </w:rPr>
        <w:t>NETs</w:t>
      </w:r>
      <w:r w:rsidR="005A1797">
        <w:rPr>
          <w:rFonts w:asciiTheme="minorHAnsi" w:hAnsiTheme="minorHAnsi" w:cstheme="minorHAnsi"/>
          <w:color w:val="000000" w:themeColor="text1"/>
        </w:rPr>
        <w:t>.</w:t>
      </w:r>
      <w:r w:rsidR="005A1797" w:rsidRPr="005A1797">
        <w:rPr>
          <w:rFonts w:asciiTheme="minorHAnsi" w:hAnsiTheme="minorHAnsi" w:cstheme="minorHAnsi"/>
          <w:color w:val="000000" w:themeColor="text1"/>
          <w:vertAlign w:val="superscript"/>
        </w:rPr>
        <w:t>5</w:t>
      </w:r>
      <w:r>
        <w:rPr>
          <w:rFonts w:asciiTheme="minorHAnsi" w:hAnsiTheme="minorHAnsi" w:cstheme="minorHAnsi"/>
          <w:color w:val="000000" w:themeColor="text1"/>
        </w:rPr>
        <w:t xml:space="preserve"> High grade GEP NETs, have a high proliferation rate with no standard management options prior to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w:t>
      </w:r>
      <w:r w:rsidR="005A1797">
        <w:rPr>
          <w:rFonts w:asciiTheme="minorHAnsi" w:hAnsiTheme="minorHAnsi" w:cstheme="minorHAnsi"/>
          <w:color w:val="000000" w:themeColor="text1"/>
        </w:rPr>
        <w:t>.</w:t>
      </w:r>
      <w:r w:rsidRPr="00C260E8">
        <w:rPr>
          <w:rFonts w:asciiTheme="minorHAnsi" w:hAnsiTheme="minorHAnsi" w:cstheme="minorHAnsi"/>
          <w:color w:val="000000" w:themeColor="text1"/>
          <w:vertAlign w:val="superscript"/>
        </w:rPr>
        <w:t>2,</w:t>
      </w:r>
      <w:r w:rsidR="005A1797">
        <w:rPr>
          <w:rFonts w:asciiTheme="minorHAnsi" w:hAnsiTheme="minorHAnsi" w:cstheme="minorHAnsi"/>
          <w:color w:val="000000" w:themeColor="text1"/>
          <w:vertAlign w:val="superscript"/>
        </w:rPr>
        <w:t>3</w:t>
      </w:r>
      <w:r w:rsidR="005A1797" w:rsidRPr="005A1797">
        <w:rPr>
          <w:rFonts w:asciiTheme="minorHAnsi" w:hAnsiTheme="minorHAnsi" w:cstheme="minorHAnsi"/>
          <w:color w:val="000000" w:themeColor="text1"/>
        </w:rPr>
        <w:t xml:space="preserve">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 has</w:t>
      </w:r>
      <w:r>
        <w:rPr>
          <w:rFonts w:asciiTheme="minorHAnsi" w:hAnsiTheme="minorHAnsi" w:cstheme="minorHAnsi"/>
          <w:color w:val="000000" w:themeColor="text1"/>
        </w:rPr>
        <w:t xml:space="preserve"> shown wider promise in treatment NETs in terms of improved prognosis and increased </w:t>
      </w:r>
      <w:r w:rsidRPr="006868B4">
        <w:rPr>
          <w:rFonts w:asciiTheme="minorHAnsi" w:hAnsiTheme="minorHAnsi" w:cstheme="minorHAnsi"/>
          <w:color w:val="000000" w:themeColor="text1"/>
        </w:rPr>
        <w:t>progression free survival [PFS]</w:t>
      </w:r>
      <w:r w:rsidR="005A1797">
        <w:rPr>
          <w:rFonts w:asciiTheme="minorHAnsi" w:hAnsiTheme="minorHAnsi" w:cstheme="minorHAnsi"/>
          <w:color w:val="000000" w:themeColor="text1"/>
        </w:rPr>
        <w:t>.</w:t>
      </w:r>
      <w:r w:rsidR="005A1797">
        <w:rPr>
          <w:rFonts w:asciiTheme="minorHAnsi" w:hAnsiTheme="minorHAnsi" w:cstheme="minorHAnsi"/>
          <w:color w:val="000000" w:themeColor="text1"/>
          <w:vertAlign w:val="superscript"/>
        </w:rPr>
        <w:t>4</w:t>
      </w:r>
      <w:r w:rsidRPr="00C260E8">
        <w:rPr>
          <w:rFonts w:asciiTheme="minorHAnsi" w:hAnsiTheme="minorHAnsi" w:cstheme="minorHAnsi"/>
          <w:color w:val="000000" w:themeColor="text1"/>
          <w:vertAlign w:val="superscript"/>
        </w:rPr>
        <w:t xml:space="preserve">, </w:t>
      </w:r>
      <w:r w:rsidR="005A1797">
        <w:rPr>
          <w:rFonts w:asciiTheme="minorHAnsi" w:hAnsiTheme="minorHAnsi" w:cstheme="minorHAnsi"/>
          <w:color w:val="000000" w:themeColor="text1"/>
          <w:vertAlign w:val="superscript"/>
        </w:rPr>
        <w:t>6</w:t>
      </w:r>
      <w:r w:rsidR="005A1797" w:rsidRPr="005A179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Key to this evidence was the </w:t>
      </w:r>
      <w:r w:rsidRPr="006868B4">
        <w:rPr>
          <w:rFonts w:asciiTheme="minorHAnsi" w:hAnsiTheme="minorHAnsi" w:cstheme="minorHAnsi"/>
          <w:color w:val="000000" w:themeColor="text1"/>
        </w:rPr>
        <w:t xml:space="preserve">NETTER-1 double blind, randomised controlled trial, which compared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 xml:space="preserve">Lu-DOTATATE to high dose </w:t>
      </w:r>
      <w:r>
        <w:rPr>
          <w:rFonts w:asciiTheme="minorHAnsi" w:hAnsiTheme="minorHAnsi" w:cstheme="minorHAnsi"/>
          <w:color w:val="000000" w:themeColor="text1"/>
        </w:rPr>
        <w:t>O</w:t>
      </w:r>
      <w:r w:rsidRPr="006868B4">
        <w:rPr>
          <w:rFonts w:asciiTheme="minorHAnsi" w:hAnsiTheme="minorHAnsi" w:cstheme="minorHAnsi"/>
          <w:color w:val="000000" w:themeColor="text1"/>
        </w:rPr>
        <w:t>ctreotide</w:t>
      </w:r>
      <w:r w:rsidRPr="00C260E8">
        <w:rPr>
          <w:rFonts w:asciiTheme="minorHAnsi" w:hAnsiTheme="minorHAnsi" w:cstheme="minorHAnsi"/>
          <w:color w:val="000000" w:themeColor="text1"/>
          <w:vertAlign w:val="superscript"/>
        </w:rPr>
        <w:t xml:space="preserve">7, </w:t>
      </w:r>
      <w:r w:rsidR="005A1797">
        <w:rPr>
          <w:rFonts w:asciiTheme="minorHAnsi" w:hAnsiTheme="minorHAnsi" w:cstheme="minorHAnsi"/>
          <w:color w:val="000000" w:themeColor="text1"/>
          <w:vertAlign w:val="superscript"/>
        </w:rPr>
        <w:t>8</w:t>
      </w:r>
      <w:r>
        <w:rPr>
          <w:rFonts w:asciiTheme="minorHAnsi" w:hAnsiTheme="minorHAnsi" w:cstheme="minorHAnsi"/>
          <w:color w:val="000000" w:themeColor="text1"/>
        </w:rPr>
        <w:t xml:space="preserve"> for the treatment of advanced, inoperable, well differentiated midgut NETs.</w:t>
      </w:r>
      <w:r>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rPr>
        <w:t>Ov</w:t>
      </w:r>
      <w:r w:rsidRPr="006868B4">
        <w:rPr>
          <w:rFonts w:asciiTheme="minorHAnsi" w:hAnsiTheme="minorHAnsi" w:cstheme="minorHAnsi"/>
          <w:color w:val="000000" w:themeColor="text1"/>
        </w:rPr>
        <w:t xml:space="preserve">erall survival [OS] rate was not significantly </w:t>
      </w:r>
      <w:proofErr w:type="gramStart"/>
      <w:r>
        <w:rPr>
          <w:rFonts w:asciiTheme="minorHAnsi" w:hAnsiTheme="minorHAnsi" w:cstheme="minorHAnsi"/>
          <w:color w:val="000000" w:themeColor="text1"/>
        </w:rPr>
        <w:t>different</w:t>
      </w:r>
      <w:proofErr w:type="gramEnd"/>
      <w:r>
        <w:rPr>
          <w:rFonts w:asciiTheme="minorHAnsi" w:hAnsiTheme="minorHAnsi" w:cstheme="minorHAnsi"/>
          <w:color w:val="000000" w:themeColor="text1"/>
        </w:rPr>
        <w:t xml:space="preserve"> but the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w:t>
      </w:r>
      <w:r>
        <w:rPr>
          <w:rFonts w:asciiTheme="minorHAnsi" w:hAnsiTheme="minorHAnsi" w:cstheme="minorHAnsi"/>
          <w:color w:val="000000" w:themeColor="text1"/>
        </w:rPr>
        <w:t xml:space="preserve"> arm demonstrated, median OS </w:t>
      </w:r>
      <w:r w:rsidRPr="006868B4">
        <w:rPr>
          <w:rFonts w:asciiTheme="minorHAnsi" w:hAnsiTheme="minorHAnsi" w:cstheme="minorHAnsi"/>
          <w:color w:val="000000" w:themeColor="text1"/>
        </w:rPr>
        <w:t xml:space="preserve">of </w:t>
      </w:r>
      <w:r>
        <w:rPr>
          <w:rFonts w:asciiTheme="minorHAnsi" w:hAnsiTheme="minorHAnsi" w:cstheme="minorHAnsi"/>
          <w:color w:val="000000" w:themeColor="text1"/>
        </w:rPr>
        <w:t>48</w:t>
      </w:r>
      <w:r w:rsidRPr="006868B4">
        <w:rPr>
          <w:rFonts w:asciiTheme="minorHAnsi" w:hAnsiTheme="minorHAnsi" w:cstheme="minorHAnsi"/>
          <w:color w:val="000000" w:themeColor="text1"/>
        </w:rPr>
        <w:t xml:space="preserve"> </w:t>
      </w:r>
      <w:r>
        <w:rPr>
          <w:rFonts w:asciiTheme="minorHAnsi" w:hAnsiTheme="minorHAnsi" w:cstheme="minorHAnsi"/>
          <w:color w:val="000000" w:themeColor="text1"/>
        </w:rPr>
        <w:t>versus 36.3</w:t>
      </w:r>
      <w:r w:rsidR="005A1797" w:rsidRPr="005A1797">
        <w:rPr>
          <w:rFonts w:asciiTheme="minorHAnsi" w:hAnsiTheme="minorHAnsi" w:cstheme="minorHAnsi"/>
          <w:color w:val="000000" w:themeColor="text1"/>
        </w:rPr>
        <w:t xml:space="preserve"> </w:t>
      </w:r>
      <w:r w:rsidR="005A1797" w:rsidRPr="006868B4">
        <w:rPr>
          <w:rFonts w:asciiTheme="minorHAnsi" w:hAnsiTheme="minorHAnsi" w:cstheme="minorHAnsi"/>
          <w:color w:val="000000" w:themeColor="text1"/>
        </w:rPr>
        <w:t>months</w:t>
      </w:r>
      <w:r>
        <w:rPr>
          <w:rFonts w:asciiTheme="minorHAnsi" w:hAnsiTheme="minorHAnsi" w:cstheme="minorHAnsi"/>
          <w:color w:val="000000" w:themeColor="text1"/>
        </w:rPr>
        <w:t xml:space="preserve">. The long-term safety profile from the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w:t>
      </w:r>
      <w:r>
        <w:rPr>
          <w:rFonts w:asciiTheme="minorHAnsi" w:hAnsiTheme="minorHAnsi" w:cstheme="minorHAnsi"/>
          <w:color w:val="000000" w:themeColor="text1"/>
        </w:rPr>
        <w:t xml:space="preserve"> was also </w:t>
      </w:r>
      <w:r w:rsidRPr="006868B4">
        <w:rPr>
          <w:rFonts w:asciiTheme="minorHAnsi" w:hAnsiTheme="minorHAnsi" w:cstheme="minorHAnsi"/>
          <w:color w:val="000000" w:themeColor="text1"/>
        </w:rPr>
        <w:t>favourable</w:t>
      </w:r>
      <w:r w:rsidR="005A1797">
        <w:rPr>
          <w:rFonts w:asciiTheme="minorHAnsi" w:hAnsiTheme="minorHAnsi" w:cstheme="minorHAnsi"/>
          <w:color w:val="000000" w:themeColor="text1"/>
        </w:rPr>
        <w:t>.</w:t>
      </w:r>
      <w:r w:rsidR="005A1797" w:rsidRPr="005A1797">
        <w:rPr>
          <w:rFonts w:asciiTheme="minorHAnsi" w:hAnsiTheme="minorHAnsi" w:cstheme="minorHAnsi"/>
          <w:color w:val="000000" w:themeColor="text1"/>
          <w:vertAlign w:val="superscript"/>
        </w:rPr>
        <w:t>8</w:t>
      </w:r>
      <w:r w:rsidRPr="006868B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Other </w:t>
      </w:r>
      <w:r w:rsidRPr="006868B4">
        <w:rPr>
          <w:rFonts w:asciiTheme="minorHAnsi" w:hAnsiTheme="minorHAnsi" w:cstheme="minorHAnsi"/>
          <w:color w:val="000000" w:themeColor="text1"/>
        </w:rPr>
        <w:t>trials are ongoing t</w:t>
      </w:r>
      <w:r>
        <w:rPr>
          <w:rFonts w:asciiTheme="minorHAnsi" w:hAnsiTheme="minorHAnsi" w:cstheme="minorHAnsi"/>
          <w:color w:val="000000" w:themeColor="text1"/>
        </w:rPr>
        <w:t xml:space="preserve">o investigate the use of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w:t>
      </w:r>
      <w:r>
        <w:rPr>
          <w:rFonts w:asciiTheme="minorHAnsi" w:hAnsiTheme="minorHAnsi" w:cstheme="minorHAnsi"/>
          <w:color w:val="000000" w:themeColor="text1"/>
        </w:rPr>
        <w:t xml:space="preserve"> as a single agent or in combination with other endocrine analogues</w:t>
      </w:r>
      <w:r w:rsidR="005A1797">
        <w:rPr>
          <w:rFonts w:asciiTheme="minorHAnsi" w:hAnsiTheme="minorHAnsi" w:cstheme="minorHAnsi"/>
          <w:color w:val="000000" w:themeColor="text1"/>
        </w:rPr>
        <w:t>.</w:t>
      </w:r>
      <w:r w:rsidR="005A1797" w:rsidRPr="005A1797">
        <w:rPr>
          <w:rFonts w:asciiTheme="minorHAnsi" w:hAnsiTheme="minorHAnsi" w:cstheme="minorHAnsi"/>
          <w:color w:val="000000" w:themeColor="text1"/>
          <w:vertAlign w:val="superscript"/>
        </w:rPr>
        <w:t>4</w:t>
      </w:r>
      <w:r w:rsidRPr="005A1797">
        <w:rPr>
          <w:rFonts w:asciiTheme="minorHAnsi" w:hAnsiTheme="minorHAnsi" w:cstheme="minorHAnsi"/>
          <w:color w:val="000000" w:themeColor="text1"/>
          <w:vertAlign w:val="superscript"/>
        </w:rPr>
        <w:t xml:space="preserve">, </w:t>
      </w:r>
      <w:r w:rsidR="005A1797" w:rsidRPr="005A1797">
        <w:rPr>
          <w:rFonts w:asciiTheme="minorHAnsi" w:hAnsiTheme="minorHAnsi" w:cstheme="minorHAnsi"/>
          <w:color w:val="000000" w:themeColor="text1"/>
          <w:vertAlign w:val="superscript"/>
        </w:rPr>
        <w:t>9</w:t>
      </w:r>
    </w:p>
    <w:p w14:paraId="1A46C589" w14:textId="0E63E2DC" w:rsidR="00016A6E" w:rsidRPr="006868B4" w:rsidRDefault="00016A6E" w:rsidP="00BE5074">
      <w:pPr>
        <w:spacing w:before="240"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The current evidence base for this novel radionuclide is spread across a range of relatively small trials in diverse NET subtypes. </w:t>
      </w:r>
      <w:r w:rsidRPr="006868B4">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aim of </w:t>
      </w:r>
      <w:r w:rsidRPr="006868B4">
        <w:rPr>
          <w:rFonts w:asciiTheme="minorHAnsi" w:hAnsiTheme="minorHAnsi" w:cstheme="minorHAnsi"/>
          <w:color w:val="000000" w:themeColor="text1"/>
        </w:rPr>
        <w:t xml:space="preserve">this systematic literature review </w:t>
      </w:r>
      <w:r w:rsidR="00BE5074">
        <w:rPr>
          <w:rFonts w:asciiTheme="minorHAnsi" w:hAnsiTheme="minorHAnsi" w:cstheme="minorHAnsi"/>
          <w:color w:val="000000" w:themeColor="text1"/>
        </w:rPr>
        <w:t>(</w:t>
      </w:r>
      <w:r w:rsidRPr="006868B4">
        <w:rPr>
          <w:rFonts w:asciiTheme="minorHAnsi" w:hAnsiTheme="minorHAnsi" w:cstheme="minorHAnsi"/>
          <w:color w:val="000000" w:themeColor="text1"/>
        </w:rPr>
        <w:t>SLR</w:t>
      </w:r>
      <w:r w:rsidR="00BE5074">
        <w:rPr>
          <w:rFonts w:asciiTheme="minorHAnsi" w:hAnsiTheme="minorHAnsi" w:cstheme="minorHAnsi"/>
          <w:color w:val="000000" w:themeColor="text1"/>
        </w:rPr>
        <w:t>)</w:t>
      </w:r>
      <w:r w:rsidRPr="006868B4">
        <w:rPr>
          <w:rFonts w:asciiTheme="minorHAnsi" w:hAnsiTheme="minorHAnsi" w:cstheme="minorHAnsi"/>
          <w:color w:val="000000" w:themeColor="text1"/>
        </w:rPr>
        <w:t xml:space="preserve"> is to </w:t>
      </w:r>
      <w:r>
        <w:rPr>
          <w:rFonts w:asciiTheme="minorHAnsi" w:hAnsiTheme="minorHAnsi" w:cstheme="minorHAnsi"/>
          <w:color w:val="000000" w:themeColor="text1"/>
        </w:rPr>
        <w:t xml:space="preserve">synthesise the evidence of </w:t>
      </w:r>
      <w:r w:rsidRPr="006868B4">
        <w:rPr>
          <w:rFonts w:asciiTheme="minorHAnsi" w:hAnsiTheme="minorHAnsi" w:cstheme="minorHAnsi"/>
          <w:color w:val="000000" w:themeColor="text1"/>
        </w:rPr>
        <w:t xml:space="preserve">the efficacy of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 xml:space="preserve">Lu-DOTATATE in the treatment </w:t>
      </w:r>
      <w:r>
        <w:rPr>
          <w:rFonts w:asciiTheme="minorHAnsi" w:hAnsiTheme="minorHAnsi" w:cstheme="minorHAnsi"/>
          <w:color w:val="000000" w:themeColor="text1"/>
        </w:rPr>
        <w:t>of</w:t>
      </w:r>
      <w:r w:rsidRPr="006868B4">
        <w:rPr>
          <w:rFonts w:asciiTheme="minorHAnsi" w:hAnsiTheme="minorHAnsi" w:cstheme="minorHAnsi"/>
          <w:color w:val="000000" w:themeColor="text1"/>
        </w:rPr>
        <w:t xml:space="preserve"> NETs. </w:t>
      </w:r>
      <w:r>
        <w:rPr>
          <w:rFonts w:asciiTheme="minorHAnsi" w:hAnsiTheme="minorHAnsi" w:cstheme="minorHAnsi"/>
          <w:color w:val="000000" w:themeColor="text1"/>
        </w:rPr>
        <w:t xml:space="preserve">Comparison highlights the efficacy, and therefore relative indication for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 xml:space="preserve">Lu-DOTATATE in </w:t>
      </w:r>
      <w:r>
        <w:rPr>
          <w:rFonts w:asciiTheme="minorHAnsi" w:hAnsiTheme="minorHAnsi" w:cstheme="minorHAnsi"/>
          <w:color w:val="000000" w:themeColor="text1"/>
        </w:rPr>
        <w:t xml:space="preserve">different NET subtypes. The significance of this first review is to help define </w:t>
      </w:r>
      <w:r w:rsidRPr="006868B4">
        <w:rPr>
          <w:rFonts w:asciiTheme="minorHAnsi" w:hAnsiTheme="minorHAnsi" w:cstheme="minorHAnsi"/>
          <w:color w:val="000000" w:themeColor="text1"/>
        </w:rPr>
        <w:t xml:space="preserve">the potential of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 xml:space="preserve">Lu-DOTATATE as a </w:t>
      </w:r>
      <w:r>
        <w:rPr>
          <w:rFonts w:asciiTheme="minorHAnsi" w:hAnsiTheme="minorHAnsi" w:cstheme="minorHAnsi"/>
          <w:color w:val="000000" w:themeColor="text1"/>
        </w:rPr>
        <w:t xml:space="preserve">novel first </w:t>
      </w:r>
      <w:r w:rsidRPr="006868B4">
        <w:rPr>
          <w:rFonts w:asciiTheme="minorHAnsi" w:hAnsiTheme="minorHAnsi" w:cstheme="minorHAnsi"/>
          <w:color w:val="000000" w:themeColor="text1"/>
        </w:rPr>
        <w:t>line therapeutic option</w:t>
      </w:r>
      <w:r>
        <w:rPr>
          <w:rFonts w:asciiTheme="minorHAnsi" w:hAnsiTheme="minorHAnsi" w:cstheme="minorHAnsi"/>
          <w:color w:val="000000" w:themeColor="text1"/>
        </w:rPr>
        <w:t xml:space="preserve"> for NETs; a pathology with limited treatment options and poor patient outcomes.</w:t>
      </w:r>
    </w:p>
    <w:p w14:paraId="2814E2F3" w14:textId="77777777" w:rsidR="00016A6E" w:rsidRDefault="00016A6E" w:rsidP="00016A6E">
      <w:pPr>
        <w:spacing w:line="276" w:lineRule="auto"/>
        <w:rPr>
          <w:rFonts w:asciiTheme="minorHAnsi" w:hAnsiTheme="minorHAnsi" w:cstheme="minorHAnsi"/>
          <w:color w:val="000000" w:themeColor="text1"/>
        </w:rPr>
      </w:pPr>
      <w:r w:rsidRPr="006868B4">
        <w:rPr>
          <w:rFonts w:asciiTheme="minorHAnsi" w:hAnsiTheme="minorHAnsi" w:cstheme="minorHAnsi"/>
          <w:color w:val="000000" w:themeColor="text1"/>
        </w:rPr>
        <w:t>  </w:t>
      </w:r>
    </w:p>
    <w:p w14:paraId="4453575F" w14:textId="77777777" w:rsidR="00016A6E" w:rsidRDefault="00016A6E" w:rsidP="00016A6E">
      <w:pPr>
        <w:spacing w:line="276" w:lineRule="auto"/>
        <w:rPr>
          <w:rFonts w:asciiTheme="minorHAnsi" w:hAnsiTheme="minorHAnsi" w:cstheme="minorHAnsi"/>
          <w:b/>
          <w:bCs/>
          <w:color w:val="000000" w:themeColor="text1"/>
          <w:sz w:val="28"/>
          <w:szCs w:val="28"/>
          <w:u w:val="single"/>
        </w:rPr>
      </w:pPr>
    </w:p>
    <w:p w14:paraId="1F3B4FF0" w14:textId="6944D845" w:rsidR="00016A6E" w:rsidRPr="00BE5074" w:rsidRDefault="00BE5074" w:rsidP="00CF542C">
      <w:pPr>
        <w:spacing w:after="240" w:line="276" w:lineRule="auto"/>
        <w:rPr>
          <w:rFonts w:asciiTheme="minorHAnsi" w:hAnsiTheme="minorHAnsi" w:cstheme="minorHAnsi"/>
          <w:color w:val="000000" w:themeColor="text1"/>
        </w:rPr>
      </w:pPr>
      <w:r w:rsidRPr="00BE5074">
        <w:rPr>
          <w:rFonts w:asciiTheme="minorHAnsi" w:hAnsiTheme="minorHAnsi" w:cstheme="minorHAnsi"/>
          <w:b/>
          <w:bCs/>
          <w:color w:val="000000" w:themeColor="text1"/>
          <w:sz w:val="28"/>
          <w:szCs w:val="28"/>
        </w:rPr>
        <w:lastRenderedPageBreak/>
        <w:t>M</w:t>
      </w:r>
      <w:r w:rsidR="00016A6E" w:rsidRPr="00BE5074">
        <w:rPr>
          <w:rFonts w:asciiTheme="minorHAnsi" w:hAnsiTheme="minorHAnsi" w:cstheme="minorHAnsi"/>
          <w:b/>
          <w:bCs/>
          <w:color w:val="000000" w:themeColor="text1"/>
          <w:sz w:val="28"/>
          <w:szCs w:val="28"/>
        </w:rPr>
        <w:t xml:space="preserve">ethods </w:t>
      </w:r>
    </w:p>
    <w:p w14:paraId="7A189932" w14:textId="28BB74D0" w:rsidR="00016A6E" w:rsidRPr="006868B4" w:rsidRDefault="00016A6E" w:rsidP="00016A6E">
      <w:pPr>
        <w:spacing w:line="276" w:lineRule="auto"/>
        <w:rPr>
          <w:rFonts w:asciiTheme="minorHAnsi" w:hAnsiTheme="minorHAnsi" w:cstheme="minorHAnsi"/>
          <w:color w:val="000000" w:themeColor="text1"/>
        </w:rPr>
      </w:pPr>
      <w:r w:rsidRPr="006868B4">
        <w:rPr>
          <w:rFonts w:asciiTheme="minorHAnsi" w:hAnsiTheme="minorHAnsi" w:cstheme="minorHAnsi"/>
          <w:color w:val="000000" w:themeColor="text1"/>
        </w:rPr>
        <w:t>This</w:t>
      </w:r>
      <w:r>
        <w:rPr>
          <w:rFonts w:asciiTheme="minorHAnsi" w:hAnsiTheme="minorHAnsi" w:cstheme="minorHAnsi"/>
          <w:color w:val="000000" w:themeColor="text1"/>
        </w:rPr>
        <w:t xml:space="preserve"> SLR does not reach the rigo</w:t>
      </w:r>
      <w:r w:rsidR="00BE5074">
        <w:rPr>
          <w:rFonts w:asciiTheme="minorHAnsi" w:hAnsiTheme="minorHAnsi" w:cstheme="minorHAnsi"/>
          <w:color w:val="000000" w:themeColor="text1"/>
        </w:rPr>
        <w:t>u</w:t>
      </w:r>
      <w:r>
        <w:rPr>
          <w:rFonts w:asciiTheme="minorHAnsi" w:hAnsiTheme="minorHAnsi" w:cstheme="minorHAnsi"/>
          <w:color w:val="000000" w:themeColor="text1"/>
        </w:rPr>
        <w:t>r of a Cochrane-type review but does follow the PRISMA</w:t>
      </w:r>
      <w:r w:rsidR="00BE5074" w:rsidRPr="00BE5074">
        <w:rPr>
          <w:rFonts w:asciiTheme="minorHAnsi" w:hAnsiTheme="minorHAnsi" w:cstheme="minorHAnsi"/>
          <w:color w:val="000000" w:themeColor="text1"/>
          <w:vertAlign w:val="superscript"/>
        </w:rPr>
        <w:t>10</w:t>
      </w:r>
      <w:r>
        <w:rPr>
          <w:rFonts w:asciiTheme="minorHAnsi" w:hAnsiTheme="minorHAnsi" w:cstheme="minorHAnsi"/>
          <w:color w:val="000000" w:themeColor="text1"/>
        </w:rPr>
        <w:t xml:space="preserve"> guidelines for review conduct and reporting. As such, it </w:t>
      </w:r>
      <w:r w:rsidRPr="006868B4">
        <w:rPr>
          <w:rFonts w:asciiTheme="minorHAnsi" w:hAnsiTheme="minorHAnsi" w:cstheme="minorHAnsi"/>
          <w:color w:val="000000" w:themeColor="text1"/>
        </w:rPr>
        <w:t xml:space="preserve">provides a </w:t>
      </w:r>
      <w:r>
        <w:rPr>
          <w:rFonts w:asciiTheme="minorHAnsi" w:hAnsiTheme="minorHAnsi" w:cstheme="minorHAnsi"/>
          <w:color w:val="000000" w:themeColor="text1"/>
        </w:rPr>
        <w:t xml:space="preserve">systemic </w:t>
      </w:r>
      <w:r w:rsidRPr="006868B4">
        <w:rPr>
          <w:rFonts w:asciiTheme="minorHAnsi" w:hAnsiTheme="minorHAnsi" w:cstheme="minorHAnsi"/>
          <w:color w:val="000000" w:themeColor="text1"/>
        </w:rPr>
        <w:t>and objective synthesis</w:t>
      </w:r>
      <w:r>
        <w:rPr>
          <w:rFonts w:asciiTheme="minorHAnsi" w:hAnsiTheme="minorHAnsi" w:cstheme="minorHAnsi"/>
          <w:color w:val="000000" w:themeColor="text1"/>
        </w:rPr>
        <w:t xml:space="preserve"> of current evidence</w:t>
      </w:r>
      <w:r w:rsidR="00BE5074">
        <w:rPr>
          <w:rFonts w:asciiTheme="minorHAnsi" w:hAnsiTheme="minorHAnsi" w:cstheme="minorHAnsi"/>
          <w:color w:val="000000" w:themeColor="text1"/>
        </w:rPr>
        <w:t>.</w:t>
      </w:r>
      <w:r w:rsidR="00BE5074" w:rsidRPr="00BE5074">
        <w:rPr>
          <w:rFonts w:asciiTheme="minorHAnsi" w:hAnsiTheme="minorHAnsi" w:cstheme="minorHAnsi"/>
          <w:color w:val="000000" w:themeColor="text1"/>
          <w:vertAlign w:val="superscript"/>
        </w:rPr>
        <w:t>11</w:t>
      </w:r>
      <w:r w:rsidRPr="006868B4">
        <w:rPr>
          <w:rFonts w:asciiTheme="minorHAnsi" w:hAnsiTheme="minorHAnsi" w:cstheme="minorHAnsi"/>
          <w:color w:val="000000" w:themeColor="text1"/>
        </w:rPr>
        <w:t xml:space="preserve"> Systematic reviews are</w:t>
      </w:r>
      <w:r>
        <w:rPr>
          <w:rFonts w:asciiTheme="minorHAnsi" w:hAnsiTheme="minorHAnsi" w:cstheme="minorHAnsi"/>
          <w:color w:val="000000" w:themeColor="text1"/>
        </w:rPr>
        <w:t xml:space="preserve"> </w:t>
      </w:r>
      <w:r w:rsidRPr="006868B4">
        <w:rPr>
          <w:rFonts w:asciiTheme="minorHAnsi" w:hAnsiTheme="minorHAnsi" w:cstheme="minorHAnsi"/>
          <w:color w:val="000000" w:themeColor="text1"/>
        </w:rPr>
        <w:t xml:space="preserve">particularly </w:t>
      </w:r>
      <w:r>
        <w:rPr>
          <w:rFonts w:asciiTheme="minorHAnsi" w:hAnsiTheme="minorHAnsi" w:cstheme="minorHAnsi"/>
          <w:color w:val="000000" w:themeColor="text1"/>
        </w:rPr>
        <w:t xml:space="preserve">useful tools for guiding evidence-based healthcare decisions </w:t>
      </w:r>
      <w:r w:rsidRPr="006868B4">
        <w:rPr>
          <w:rFonts w:asciiTheme="minorHAnsi" w:hAnsiTheme="minorHAnsi" w:cstheme="minorHAnsi"/>
          <w:color w:val="000000" w:themeColor="text1"/>
        </w:rPr>
        <w:t>in areas where treatment options are evolving</w:t>
      </w:r>
      <w:r w:rsidR="00BE5074">
        <w:rPr>
          <w:rFonts w:asciiTheme="minorHAnsi" w:hAnsiTheme="minorHAnsi" w:cstheme="minorHAnsi"/>
          <w:color w:val="000000" w:themeColor="text1"/>
        </w:rPr>
        <w:t>,</w:t>
      </w:r>
      <w:r w:rsidR="00BE5074" w:rsidRPr="00BE5074">
        <w:rPr>
          <w:rFonts w:asciiTheme="minorHAnsi" w:hAnsiTheme="minorHAnsi" w:cstheme="minorHAnsi"/>
          <w:color w:val="000000" w:themeColor="text1"/>
          <w:vertAlign w:val="superscript"/>
        </w:rPr>
        <w:t>11</w:t>
      </w:r>
      <w:r w:rsidR="00BE5074">
        <w:rPr>
          <w:rFonts w:asciiTheme="minorHAnsi" w:hAnsiTheme="minorHAnsi" w:cstheme="minorHAnsi"/>
          <w:color w:val="000000" w:themeColor="text1"/>
        </w:rPr>
        <w:t xml:space="preserve"> </w:t>
      </w:r>
      <w:r>
        <w:rPr>
          <w:rFonts w:asciiTheme="minorHAnsi" w:hAnsiTheme="minorHAnsi" w:cstheme="minorHAnsi"/>
          <w:color w:val="000000" w:themeColor="text1"/>
        </w:rPr>
        <w:t>such as here regarding the efficacy of</w:t>
      </w:r>
      <w:r w:rsidRPr="006868B4">
        <w:rPr>
          <w:rFonts w:asciiTheme="minorHAnsi" w:hAnsiTheme="minorHAnsi" w:cstheme="minorHAnsi"/>
          <w:color w:val="000000" w:themeColor="text1"/>
        </w:rPr>
        <w:t xml:space="preserve">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w:t>
      </w:r>
      <w:r w:rsidR="00BE5074">
        <w:rPr>
          <w:rFonts w:asciiTheme="minorHAnsi" w:hAnsiTheme="minorHAnsi" w:cstheme="minorHAnsi"/>
          <w:color w:val="000000" w:themeColor="text1"/>
        </w:rPr>
        <w:t>.</w:t>
      </w:r>
      <w:r w:rsidR="00BE5074" w:rsidRPr="00BE5074">
        <w:rPr>
          <w:rFonts w:asciiTheme="minorHAnsi" w:hAnsiTheme="minorHAnsi" w:cstheme="minorHAnsi"/>
          <w:color w:val="000000" w:themeColor="text1"/>
          <w:vertAlign w:val="superscript"/>
        </w:rPr>
        <w:t>12</w:t>
      </w:r>
    </w:p>
    <w:p w14:paraId="07AA5B5D" w14:textId="727015DF" w:rsidR="00016A6E" w:rsidRPr="006868B4" w:rsidRDefault="00BE5074" w:rsidP="00BE5074">
      <w:pPr>
        <w:spacing w:before="240" w:line="276" w:lineRule="auto"/>
        <w:rPr>
          <w:rFonts w:asciiTheme="minorHAnsi" w:hAnsiTheme="minorHAnsi" w:cstheme="minorHAnsi"/>
          <w:color w:val="000000" w:themeColor="text1"/>
        </w:rPr>
      </w:pPr>
      <w:r>
        <w:rPr>
          <w:rFonts w:asciiTheme="minorHAnsi" w:hAnsiTheme="minorHAnsi" w:cstheme="minorHAnsi"/>
          <w:color w:val="000000" w:themeColor="text1"/>
        </w:rPr>
        <w:t>R</w:t>
      </w:r>
      <w:r w:rsidR="00016A6E" w:rsidRPr="006868B4">
        <w:rPr>
          <w:rFonts w:asciiTheme="minorHAnsi" w:hAnsiTheme="minorHAnsi" w:cstheme="minorHAnsi"/>
          <w:color w:val="000000" w:themeColor="text1"/>
        </w:rPr>
        <w:t xml:space="preserve">eview </w:t>
      </w:r>
      <w:r w:rsidR="00016A6E">
        <w:rPr>
          <w:rFonts w:asciiTheme="minorHAnsi" w:hAnsiTheme="minorHAnsi" w:cstheme="minorHAnsi"/>
          <w:color w:val="000000" w:themeColor="text1"/>
        </w:rPr>
        <w:t>q</w:t>
      </w:r>
      <w:r w:rsidR="00016A6E" w:rsidRPr="006868B4">
        <w:rPr>
          <w:rFonts w:asciiTheme="minorHAnsi" w:hAnsiTheme="minorHAnsi" w:cstheme="minorHAnsi"/>
          <w:color w:val="000000" w:themeColor="text1"/>
        </w:rPr>
        <w:t>uestion:</w:t>
      </w:r>
      <w:r>
        <w:rPr>
          <w:rFonts w:asciiTheme="minorHAnsi" w:hAnsiTheme="minorHAnsi" w:cstheme="minorHAnsi"/>
          <w:color w:val="000000" w:themeColor="text1"/>
        </w:rPr>
        <w:t xml:space="preserve"> </w:t>
      </w:r>
      <w:r w:rsidR="00016A6E" w:rsidRPr="006868B4">
        <w:rPr>
          <w:rFonts w:asciiTheme="minorHAnsi" w:hAnsiTheme="minorHAnsi" w:cstheme="minorHAnsi"/>
          <w:color w:val="000000" w:themeColor="text1"/>
        </w:rPr>
        <w:t xml:space="preserve">What is the </w:t>
      </w:r>
      <w:r w:rsidR="00016A6E">
        <w:rPr>
          <w:rFonts w:asciiTheme="minorHAnsi" w:hAnsiTheme="minorHAnsi" w:cstheme="minorHAnsi"/>
          <w:color w:val="000000" w:themeColor="text1"/>
        </w:rPr>
        <w:t xml:space="preserve">efficacy </w:t>
      </w:r>
      <w:r w:rsidR="00016A6E" w:rsidRPr="006868B4">
        <w:rPr>
          <w:rFonts w:asciiTheme="minorHAnsi" w:hAnsiTheme="minorHAnsi" w:cstheme="minorHAnsi"/>
          <w:color w:val="000000" w:themeColor="text1"/>
        </w:rPr>
        <w:t xml:space="preserve">of </w:t>
      </w:r>
      <w:r w:rsidR="00016A6E" w:rsidRPr="006868B4">
        <w:rPr>
          <w:rFonts w:asciiTheme="minorHAnsi" w:hAnsiTheme="minorHAnsi" w:cstheme="minorHAnsi"/>
          <w:color w:val="000000" w:themeColor="text1"/>
          <w:vertAlign w:val="superscript"/>
        </w:rPr>
        <w:t>177</w:t>
      </w:r>
      <w:r w:rsidR="00016A6E" w:rsidRPr="006868B4">
        <w:rPr>
          <w:rFonts w:asciiTheme="minorHAnsi" w:hAnsiTheme="minorHAnsi" w:cstheme="minorHAnsi"/>
          <w:color w:val="000000" w:themeColor="text1"/>
        </w:rPr>
        <w:t>Lu-DOTATATE in the treatment for</w:t>
      </w:r>
      <w:r w:rsidR="00016A6E">
        <w:rPr>
          <w:rFonts w:asciiTheme="minorHAnsi" w:hAnsiTheme="minorHAnsi" w:cstheme="minorHAnsi"/>
          <w:color w:val="000000" w:themeColor="text1"/>
        </w:rPr>
        <w:t xml:space="preserve"> NETs</w:t>
      </w:r>
      <w:r w:rsidR="00016A6E" w:rsidRPr="006868B4">
        <w:rPr>
          <w:rFonts w:asciiTheme="minorHAnsi" w:hAnsiTheme="minorHAnsi" w:cstheme="minorHAnsi"/>
          <w:color w:val="000000" w:themeColor="text1"/>
        </w:rPr>
        <w:t>?</w:t>
      </w:r>
    </w:p>
    <w:p w14:paraId="143A64CB" w14:textId="2258771C" w:rsidR="00016A6E" w:rsidRPr="006868B4" w:rsidRDefault="00016A6E" w:rsidP="00016A6E">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The linked objectives are to:</w:t>
      </w:r>
    </w:p>
    <w:p w14:paraId="1F398881" w14:textId="573E55B5" w:rsidR="00016A6E" w:rsidRPr="006868B4" w:rsidRDefault="00BE5074" w:rsidP="00016A6E">
      <w:pPr>
        <w:numPr>
          <w:ilvl w:val="0"/>
          <w:numId w:val="11"/>
        </w:numPr>
        <w:spacing w:line="276" w:lineRule="auto"/>
        <w:textAlignment w:val="center"/>
        <w:rPr>
          <w:rFonts w:asciiTheme="minorHAnsi" w:hAnsiTheme="minorHAnsi" w:cstheme="minorHAnsi"/>
          <w:color w:val="000000" w:themeColor="text1"/>
        </w:rPr>
      </w:pPr>
      <w:r>
        <w:rPr>
          <w:rFonts w:asciiTheme="minorHAnsi" w:hAnsiTheme="minorHAnsi" w:cstheme="minorHAnsi"/>
          <w:color w:val="000000" w:themeColor="text1"/>
        </w:rPr>
        <w:t>a</w:t>
      </w:r>
      <w:r w:rsidR="00016A6E" w:rsidRPr="006868B4">
        <w:rPr>
          <w:rFonts w:asciiTheme="minorHAnsi" w:hAnsiTheme="minorHAnsi" w:cstheme="minorHAnsi"/>
          <w:color w:val="000000" w:themeColor="text1"/>
        </w:rPr>
        <w:t xml:space="preserve">ssess the efficacy of </w:t>
      </w:r>
      <w:r w:rsidR="00016A6E" w:rsidRPr="006868B4">
        <w:rPr>
          <w:rFonts w:asciiTheme="minorHAnsi" w:hAnsiTheme="minorHAnsi" w:cstheme="minorHAnsi"/>
          <w:color w:val="000000" w:themeColor="text1"/>
          <w:vertAlign w:val="superscript"/>
        </w:rPr>
        <w:t>177</w:t>
      </w:r>
      <w:r w:rsidR="00016A6E" w:rsidRPr="006868B4">
        <w:rPr>
          <w:rFonts w:asciiTheme="minorHAnsi" w:hAnsiTheme="minorHAnsi" w:cstheme="minorHAnsi"/>
          <w:color w:val="000000" w:themeColor="text1"/>
        </w:rPr>
        <w:t>Lu-DOTATATE in respect to tumour progression and overall survival</w:t>
      </w:r>
      <w:r>
        <w:rPr>
          <w:rFonts w:asciiTheme="minorHAnsi" w:hAnsiTheme="minorHAnsi" w:cstheme="minorHAnsi"/>
          <w:color w:val="000000" w:themeColor="text1"/>
        </w:rPr>
        <w:t>.</w:t>
      </w:r>
    </w:p>
    <w:p w14:paraId="7D367EA6" w14:textId="31628DB3" w:rsidR="00016A6E" w:rsidRPr="006868B4" w:rsidRDefault="00BE5074" w:rsidP="00016A6E">
      <w:pPr>
        <w:numPr>
          <w:ilvl w:val="0"/>
          <w:numId w:val="11"/>
        </w:numPr>
        <w:spacing w:line="276" w:lineRule="auto"/>
        <w:textAlignment w:val="center"/>
        <w:rPr>
          <w:rFonts w:asciiTheme="minorHAnsi" w:hAnsiTheme="minorHAnsi" w:cstheme="minorHAnsi"/>
          <w:color w:val="000000" w:themeColor="text1"/>
        </w:rPr>
      </w:pPr>
      <w:r>
        <w:rPr>
          <w:rFonts w:asciiTheme="minorHAnsi" w:hAnsiTheme="minorHAnsi" w:cstheme="minorHAnsi"/>
          <w:color w:val="000000" w:themeColor="text1"/>
        </w:rPr>
        <w:t>c</w:t>
      </w:r>
      <w:r w:rsidR="00016A6E" w:rsidRPr="006868B4">
        <w:rPr>
          <w:rFonts w:asciiTheme="minorHAnsi" w:hAnsiTheme="minorHAnsi" w:cstheme="minorHAnsi"/>
          <w:color w:val="000000" w:themeColor="text1"/>
        </w:rPr>
        <w:t xml:space="preserve">ompare </w:t>
      </w:r>
      <w:r w:rsidR="00016A6E">
        <w:rPr>
          <w:rFonts w:asciiTheme="minorHAnsi" w:hAnsiTheme="minorHAnsi" w:cstheme="minorHAnsi"/>
          <w:color w:val="000000" w:themeColor="text1"/>
        </w:rPr>
        <w:t>response to</w:t>
      </w:r>
      <w:r w:rsidR="00016A6E" w:rsidRPr="006868B4">
        <w:rPr>
          <w:rFonts w:asciiTheme="minorHAnsi" w:hAnsiTheme="minorHAnsi" w:cstheme="minorHAnsi"/>
          <w:color w:val="000000" w:themeColor="text1"/>
        </w:rPr>
        <w:t xml:space="preserve"> </w:t>
      </w:r>
      <w:r w:rsidR="00016A6E" w:rsidRPr="006868B4">
        <w:rPr>
          <w:rFonts w:asciiTheme="minorHAnsi" w:hAnsiTheme="minorHAnsi" w:cstheme="minorHAnsi"/>
          <w:color w:val="000000" w:themeColor="text1"/>
          <w:vertAlign w:val="superscript"/>
        </w:rPr>
        <w:t>177</w:t>
      </w:r>
      <w:r w:rsidR="00016A6E" w:rsidRPr="006868B4">
        <w:rPr>
          <w:rFonts w:asciiTheme="minorHAnsi" w:hAnsiTheme="minorHAnsi" w:cstheme="minorHAnsi"/>
          <w:color w:val="000000" w:themeColor="text1"/>
        </w:rPr>
        <w:t xml:space="preserve">Lu-DOTATATE </w:t>
      </w:r>
      <w:r w:rsidR="00016A6E">
        <w:rPr>
          <w:rFonts w:asciiTheme="minorHAnsi" w:hAnsiTheme="minorHAnsi" w:cstheme="minorHAnsi"/>
          <w:color w:val="000000" w:themeColor="text1"/>
        </w:rPr>
        <w:t>in different NET subtypes</w:t>
      </w:r>
      <w:r>
        <w:rPr>
          <w:rFonts w:asciiTheme="minorHAnsi" w:hAnsiTheme="minorHAnsi" w:cstheme="minorHAnsi"/>
          <w:color w:val="000000" w:themeColor="text1"/>
        </w:rPr>
        <w:t>.</w:t>
      </w:r>
    </w:p>
    <w:p w14:paraId="20F4FD60" w14:textId="4B741151" w:rsidR="00016A6E" w:rsidRPr="006868B4" w:rsidRDefault="00016A6E" w:rsidP="00016A6E">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The review question was formulated using the PICO framework</w:t>
      </w:r>
      <w:r w:rsidR="00BE5074" w:rsidRPr="00BE5074">
        <w:rPr>
          <w:rFonts w:asciiTheme="minorHAnsi" w:hAnsiTheme="minorHAnsi" w:cstheme="minorHAnsi"/>
          <w:color w:val="000000" w:themeColor="text1"/>
          <w:vertAlign w:val="superscript"/>
        </w:rPr>
        <w:t>13</w:t>
      </w:r>
      <w:r>
        <w:rPr>
          <w:rFonts w:asciiTheme="minorHAnsi" w:hAnsiTheme="minorHAnsi" w:cstheme="minorHAnsi"/>
          <w:color w:val="000000" w:themeColor="text1"/>
        </w:rPr>
        <w:t xml:space="preserve"> [T</w:t>
      </w:r>
      <w:r w:rsidRPr="006868B4">
        <w:rPr>
          <w:rFonts w:asciiTheme="minorHAnsi" w:hAnsiTheme="minorHAnsi" w:cstheme="minorHAnsi"/>
          <w:color w:val="000000" w:themeColor="text1"/>
        </w:rPr>
        <w:t>able 1</w:t>
      </w:r>
      <w:r>
        <w:rPr>
          <w:rFonts w:asciiTheme="minorHAnsi" w:hAnsiTheme="minorHAnsi" w:cstheme="minorHAnsi"/>
          <w:color w:val="000000" w:themeColor="text1"/>
        </w:rPr>
        <w:t>].</w:t>
      </w:r>
    </w:p>
    <w:p w14:paraId="71A91BE5" w14:textId="77777777" w:rsidR="00016A6E" w:rsidRPr="006868B4" w:rsidRDefault="00016A6E" w:rsidP="00016A6E">
      <w:pPr>
        <w:spacing w:line="276" w:lineRule="auto"/>
        <w:rPr>
          <w:rFonts w:asciiTheme="minorHAnsi" w:hAnsiTheme="minorHAnsi" w:cstheme="minorHAnsi"/>
          <w:color w:val="000000" w:themeColor="text1"/>
          <w:sz w:val="22"/>
          <w:szCs w:val="22"/>
        </w:rPr>
      </w:pPr>
    </w:p>
    <w:p w14:paraId="7FA02017" w14:textId="77777777" w:rsidR="00016A6E" w:rsidRPr="00527E4E" w:rsidRDefault="00016A6E" w:rsidP="00016A6E">
      <w:pPr>
        <w:spacing w:line="276" w:lineRule="auto"/>
        <w:rPr>
          <w:rFonts w:asciiTheme="minorHAnsi" w:hAnsiTheme="minorHAnsi" w:cstheme="minorHAnsi"/>
          <w:i/>
          <w:iCs/>
          <w:color w:val="000000" w:themeColor="text1"/>
          <w:sz w:val="20"/>
          <w:szCs w:val="20"/>
        </w:rPr>
      </w:pPr>
      <w:r w:rsidRPr="00527E4E">
        <w:rPr>
          <w:rFonts w:asciiTheme="minorHAnsi" w:hAnsiTheme="minorHAnsi" w:cstheme="minorHAnsi"/>
          <w:i/>
          <w:iCs/>
          <w:color w:val="000000" w:themeColor="text1"/>
          <w:sz w:val="20"/>
          <w:szCs w:val="20"/>
        </w:rPr>
        <w:t>Table 1: Development of the review question using the PICO framework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0"/>
        <w:gridCol w:w="6782"/>
      </w:tblGrid>
      <w:tr w:rsidR="00016A6E" w:rsidRPr="006868B4" w14:paraId="3DF3CE86" w14:textId="77777777" w:rsidTr="00BE5074">
        <w:tc>
          <w:tcPr>
            <w:tcW w:w="1430" w:type="dxa"/>
            <w:tcBorders>
              <w:top w:val="single" w:sz="8" w:space="0" w:color="A3A3A3"/>
              <w:left w:val="nil"/>
              <w:bottom w:val="single" w:sz="8" w:space="0" w:color="A3A3A3"/>
              <w:right w:val="nil"/>
            </w:tcBorders>
            <w:shd w:val="clear" w:color="auto" w:fill="B4C6E7" w:themeFill="accent1" w:themeFillTint="66"/>
            <w:tcMar>
              <w:top w:w="80" w:type="dxa"/>
              <w:left w:w="80" w:type="dxa"/>
              <w:bottom w:w="80" w:type="dxa"/>
              <w:right w:w="80" w:type="dxa"/>
            </w:tcMar>
            <w:hideMark/>
          </w:tcPr>
          <w:p w14:paraId="3CFC14F5" w14:textId="77777777" w:rsidR="00016A6E" w:rsidRPr="00BE5074" w:rsidRDefault="00016A6E" w:rsidP="005F54BD">
            <w:pPr>
              <w:rPr>
                <w:rFonts w:asciiTheme="minorHAnsi" w:hAnsiTheme="minorHAnsi" w:cstheme="minorHAnsi"/>
                <w:color w:val="000000" w:themeColor="text1"/>
                <w:sz w:val="22"/>
                <w:szCs w:val="22"/>
              </w:rPr>
            </w:pPr>
            <w:r w:rsidRPr="00BE5074">
              <w:rPr>
                <w:rFonts w:asciiTheme="minorHAnsi" w:hAnsiTheme="minorHAnsi" w:cstheme="minorHAnsi"/>
                <w:color w:val="000000" w:themeColor="text1"/>
                <w:sz w:val="22"/>
                <w:szCs w:val="22"/>
              </w:rPr>
              <w:t xml:space="preserve">Population </w:t>
            </w:r>
          </w:p>
        </w:tc>
        <w:tc>
          <w:tcPr>
            <w:tcW w:w="6782" w:type="dxa"/>
            <w:tcBorders>
              <w:top w:val="single" w:sz="8" w:space="0" w:color="A3A3A3"/>
              <w:left w:val="nil"/>
              <w:bottom w:val="single" w:sz="8" w:space="0" w:color="A3A3A3"/>
              <w:right w:val="nil"/>
            </w:tcBorders>
            <w:tcMar>
              <w:top w:w="80" w:type="dxa"/>
              <w:left w:w="80" w:type="dxa"/>
              <w:bottom w:w="80" w:type="dxa"/>
              <w:right w:w="80" w:type="dxa"/>
            </w:tcMar>
            <w:hideMark/>
          </w:tcPr>
          <w:p w14:paraId="2DBCC58F" w14:textId="77777777" w:rsidR="00016A6E" w:rsidRPr="00BE5074" w:rsidRDefault="00016A6E" w:rsidP="005F54BD">
            <w:pPr>
              <w:rPr>
                <w:rFonts w:asciiTheme="minorHAnsi" w:hAnsiTheme="minorHAnsi" w:cstheme="minorHAnsi"/>
                <w:color w:val="000000" w:themeColor="text1"/>
                <w:sz w:val="22"/>
                <w:szCs w:val="22"/>
              </w:rPr>
            </w:pPr>
            <w:r w:rsidRPr="00BE5074">
              <w:rPr>
                <w:rFonts w:asciiTheme="minorHAnsi" w:hAnsiTheme="minorHAnsi" w:cstheme="minorHAnsi"/>
                <w:color w:val="000000" w:themeColor="text1"/>
                <w:sz w:val="22"/>
                <w:szCs w:val="22"/>
              </w:rPr>
              <w:t xml:space="preserve">People diagnosed with any NET subtype </w:t>
            </w:r>
          </w:p>
        </w:tc>
      </w:tr>
      <w:tr w:rsidR="00016A6E" w:rsidRPr="006868B4" w14:paraId="6FF55BC4" w14:textId="77777777" w:rsidTr="00BE5074">
        <w:tc>
          <w:tcPr>
            <w:tcW w:w="1430" w:type="dxa"/>
            <w:tcBorders>
              <w:top w:val="single" w:sz="8" w:space="0" w:color="A3A3A3"/>
              <w:left w:val="nil"/>
              <w:bottom w:val="single" w:sz="8" w:space="0" w:color="A3A3A3"/>
              <w:right w:val="nil"/>
            </w:tcBorders>
            <w:shd w:val="clear" w:color="auto" w:fill="B4C6E7" w:themeFill="accent1" w:themeFillTint="66"/>
            <w:tcMar>
              <w:top w:w="80" w:type="dxa"/>
              <w:left w:w="80" w:type="dxa"/>
              <w:bottom w:w="80" w:type="dxa"/>
              <w:right w:w="80" w:type="dxa"/>
            </w:tcMar>
            <w:hideMark/>
          </w:tcPr>
          <w:p w14:paraId="4D46C0C6" w14:textId="77777777" w:rsidR="00016A6E" w:rsidRPr="00BE5074" w:rsidRDefault="00016A6E" w:rsidP="005F54BD">
            <w:pPr>
              <w:rPr>
                <w:rFonts w:asciiTheme="minorHAnsi" w:hAnsiTheme="minorHAnsi" w:cstheme="minorHAnsi"/>
                <w:color w:val="000000" w:themeColor="text1"/>
                <w:sz w:val="22"/>
                <w:szCs w:val="22"/>
              </w:rPr>
            </w:pPr>
            <w:r w:rsidRPr="00BE5074">
              <w:rPr>
                <w:rFonts w:asciiTheme="minorHAnsi" w:hAnsiTheme="minorHAnsi" w:cstheme="minorHAnsi"/>
                <w:color w:val="000000" w:themeColor="text1"/>
                <w:sz w:val="22"/>
                <w:szCs w:val="22"/>
              </w:rPr>
              <w:t>Intervention</w:t>
            </w:r>
          </w:p>
        </w:tc>
        <w:tc>
          <w:tcPr>
            <w:tcW w:w="6782" w:type="dxa"/>
            <w:tcBorders>
              <w:top w:val="single" w:sz="8" w:space="0" w:color="A3A3A3"/>
              <w:left w:val="nil"/>
              <w:bottom w:val="single" w:sz="8" w:space="0" w:color="A3A3A3"/>
              <w:right w:val="nil"/>
            </w:tcBorders>
            <w:tcMar>
              <w:top w:w="80" w:type="dxa"/>
              <w:left w:w="80" w:type="dxa"/>
              <w:bottom w:w="80" w:type="dxa"/>
              <w:right w:w="80" w:type="dxa"/>
            </w:tcMar>
            <w:hideMark/>
          </w:tcPr>
          <w:p w14:paraId="2E5E3A75" w14:textId="77777777" w:rsidR="00016A6E" w:rsidRPr="00BE5074" w:rsidRDefault="00016A6E" w:rsidP="005F54BD">
            <w:pPr>
              <w:rPr>
                <w:rFonts w:asciiTheme="minorHAnsi" w:hAnsiTheme="minorHAnsi" w:cstheme="minorHAnsi"/>
                <w:color w:val="000000" w:themeColor="text1"/>
                <w:sz w:val="22"/>
                <w:szCs w:val="22"/>
              </w:rPr>
            </w:pPr>
            <w:r w:rsidRPr="00BE5074">
              <w:rPr>
                <w:rFonts w:asciiTheme="minorHAnsi" w:hAnsiTheme="minorHAnsi" w:cstheme="minorHAnsi"/>
                <w:color w:val="000000" w:themeColor="text1"/>
                <w:sz w:val="22"/>
                <w:szCs w:val="22"/>
                <w:vertAlign w:val="superscript"/>
              </w:rPr>
              <w:t>177</w:t>
            </w:r>
            <w:r w:rsidRPr="00BE5074">
              <w:rPr>
                <w:rFonts w:asciiTheme="minorHAnsi" w:hAnsiTheme="minorHAnsi" w:cstheme="minorHAnsi"/>
                <w:color w:val="000000" w:themeColor="text1"/>
                <w:sz w:val="22"/>
                <w:szCs w:val="22"/>
              </w:rPr>
              <w:t>Lu-DOTATATE alone or in combination therapy with another agent</w:t>
            </w:r>
          </w:p>
        </w:tc>
      </w:tr>
      <w:tr w:rsidR="00016A6E" w:rsidRPr="006868B4" w14:paraId="13A43E8E" w14:textId="77777777" w:rsidTr="00BE5074">
        <w:tc>
          <w:tcPr>
            <w:tcW w:w="1430" w:type="dxa"/>
            <w:tcBorders>
              <w:top w:val="single" w:sz="8" w:space="0" w:color="A3A3A3"/>
              <w:left w:val="nil"/>
              <w:bottom w:val="single" w:sz="8" w:space="0" w:color="A3A3A3"/>
              <w:right w:val="nil"/>
            </w:tcBorders>
            <w:shd w:val="clear" w:color="auto" w:fill="B4C6E7" w:themeFill="accent1" w:themeFillTint="66"/>
            <w:tcMar>
              <w:top w:w="80" w:type="dxa"/>
              <w:left w:w="80" w:type="dxa"/>
              <w:bottom w:w="80" w:type="dxa"/>
              <w:right w:w="80" w:type="dxa"/>
            </w:tcMar>
            <w:hideMark/>
          </w:tcPr>
          <w:p w14:paraId="32CE5010" w14:textId="77777777" w:rsidR="00016A6E" w:rsidRPr="00BE5074" w:rsidRDefault="00016A6E" w:rsidP="005F54BD">
            <w:pPr>
              <w:rPr>
                <w:rFonts w:asciiTheme="minorHAnsi" w:hAnsiTheme="minorHAnsi" w:cstheme="minorHAnsi"/>
                <w:color w:val="000000" w:themeColor="text1"/>
                <w:sz w:val="22"/>
                <w:szCs w:val="22"/>
              </w:rPr>
            </w:pPr>
            <w:r w:rsidRPr="00BE5074">
              <w:rPr>
                <w:rFonts w:asciiTheme="minorHAnsi" w:hAnsiTheme="minorHAnsi" w:cstheme="minorHAnsi"/>
                <w:color w:val="000000" w:themeColor="text1"/>
                <w:sz w:val="22"/>
                <w:szCs w:val="22"/>
              </w:rPr>
              <w:t>Comparison</w:t>
            </w:r>
          </w:p>
        </w:tc>
        <w:tc>
          <w:tcPr>
            <w:tcW w:w="6782" w:type="dxa"/>
            <w:tcBorders>
              <w:top w:val="single" w:sz="8" w:space="0" w:color="A3A3A3"/>
              <w:left w:val="nil"/>
              <w:bottom w:val="single" w:sz="8" w:space="0" w:color="A3A3A3"/>
              <w:right w:val="nil"/>
            </w:tcBorders>
            <w:tcMar>
              <w:top w:w="80" w:type="dxa"/>
              <w:left w:w="80" w:type="dxa"/>
              <w:bottom w:w="80" w:type="dxa"/>
              <w:right w:w="80" w:type="dxa"/>
            </w:tcMar>
            <w:hideMark/>
          </w:tcPr>
          <w:p w14:paraId="2FE231FB" w14:textId="77777777" w:rsidR="00016A6E" w:rsidRPr="00BE5074" w:rsidRDefault="00016A6E" w:rsidP="005F54BD">
            <w:pPr>
              <w:rPr>
                <w:rFonts w:asciiTheme="minorHAnsi" w:hAnsiTheme="minorHAnsi" w:cstheme="minorHAnsi"/>
                <w:color w:val="000000" w:themeColor="text1"/>
                <w:sz w:val="22"/>
                <w:szCs w:val="22"/>
              </w:rPr>
            </w:pPr>
            <w:r w:rsidRPr="00BE5074">
              <w:rPr>
                <w:rFonts w:asciiTheme="minorHAnsi" w:hAnsiTheme="minorHAnsi" w:cstheme="minorHAnsi"/>
                <w:color w:val="000000" w:themeColor="text1"/>
                <w:sz w:val="22"/>
                <w:szCs w:val="22"/>
              </w:rPr>
              <w:t xml:space="preserve">Response rates for </w:t>
            </w:r>
            <w:r w:rsidRPr="00BE5074">
              <w:rPr>
                <w:rFonts w:asciiTheme="minorHAnsi" w:hAnsiTheme="minorHAnsi" w:cstheme="minorHAnsi"/>
                <w:color w:val="000000" w:themeColor="text1"/>
                <w:sz w:val="22"/>
                <w:szCs w:val="22"/>
                <w:vertAlign w:val="superscript"/>
              </w:rPr>
              <w:t>177</w:t>
            </w:r>
            <w:r w:rsidRPr="00BE5074">
              <w:rPr>
                <w:rFonts w:asciiTheme="minorHAnsi" w:hAnsiTheme="minorHAnsi" w:cstheme="minorHAnsi"/>
                <w:color w:val="000000" w:themeColor="text1"/>
                <w:sz w:val="22"/>
                <w:szCs w:val="22"/>
              </w:rPr>
              <w:t>Lu- DOTATATE across different NET subtypes</w:t>
            </w:r>
          </w:p>
        </w:tc>
      </w:tr>
      <w:tr w:rsidR="00016A6E" w:rsidRPr="006868B4" w14:paraId="75B660EA" w14:textId="77777777" w:rsidTr="00BE5074">
        <w:tc>
          <w:tcPr>
            <w:tcW w:w="1430" w:type="dxa"/>
            <w:tcBorders>
              <w:top w:val="single" w:sz="8" w:space="0" w:color="A3A3A3"/>
              <w:left w:val="nil"/>
              <w:bottom w:val="single" w:sz="8" w:space="0" w:color="A3A3A3"/>
              <w:right w:val="nil"/>
            </w:tcBorders>
            <w:shd w:val="clear" w:color="auto" w:fill="B4C6E7" w:themeFill="accent1" w:themeFillTint="66"/>
            <w:tcMar>
              <w:top w:w="80" w:type="dxa"/>
              <w:left w:w="80" w:type="dxa"/>
              <w:bottom w:w="80" w:type="dxa"/>
              <w:right w:w="80" w:type="dxa"/>
            </w:tcMar>
            <w:hideMark/>
          </w:tcPr>
          <w:p w14:paraId="1F00954B" w14:textId="77777777" w:rsidR="00016A6E" w:rsidRPr="00BE5074" w:rsidRDefault="00016A6E" w:rsidP="005F54BD">
            <w:pPr>
              <w:rPr>
                <w:rFonts w:asciiTheme="minorHAnsi" w:hAnsiTheme="minorHAnsi" w:cstheme="minorHAnsi"/>
                <w:color w:val="000000" w:themeColor="text1"/>
                <w:sz w:val="22"/>
                <w:szCs w:val="22"/>
              </w:rPr>
            </w:pPr>
            <w:r w:rsidRPr="00BE5074">
              <w:rPr>
                <w:rFonts w:asciiTheme="minorHAnsi" w:hAnsiTheme="minorHAnsi" w:cstheme="minorHAnsi"/>
                <w:color w:val="000000" w:themeColor="text1"/>
                <w:sz w:val="22"/>
                <w:szCs w:val="22"/>
              </w:rPr>
              <w:t xml:space="preserve">Outcome </w:t>
            </w:r>
          </w:p>
        </w:tc>
        <w:tc>
          <w:tcPr>
            <w:tcW w:w="6782" w:type="dxa"/>
            <w:tcBorders>
              <w:top w:val="single" w:sz="8" w:space="0" w:color="A3A3A3"/>
              <w:left w:val="nil"/>
              <w:bottom w:val="single" w:sz="8" w:space="0" w:color="A3A3A3"/>
              <w:right w:val="nil"/>
            </w:tcBorders>
            <w:tcMar>
              <w:top w:w="80" w:type="dxa"/>
              <w:left w:w="80" w:type="dxa"/>
              <w:bottom w:w="80" w:type="dxa"/>
              <w:right w:w="80" w:type="dxa"/>
            </w:tcMar>
            <w:hideMark/>
          </w:tcPr>
          <w:p w14:paraId="746C3190" w14:textId="77777777" w:rsidR="00016A6E" w:rsidRPr="00BE5074" w:rsidRDefault="00016A6E" w:rsidP="005F54BD">
            <w:pPr>
              <w:rPr>
                <w:rFonts w:asciiTheme="minorHAnsi" w:hAnsiTheme="minorHAnsi" w:cstheme="minorHAnsi"/>
                <w:color w:val="000000" w:themeColor="text1"/>
                <w:sz w:val="22"/>
                <w:szCs w:val="22"/>
              </w:rPr>
            </w:pPr>
            <w:r w:rsidRPr="00BE5074">
              <w:rPr>
                <w:rFonts w:asciiTheme="minorHAnsi" w:hAnsiTheme="minorHAnsi" w:cstheme="minorHAnsi"/>
                <w:color w:val="000000" w:themeColor="text1"/>
                <w:sz w:val="22"/>
                <w:szCs w:val="22"/>
              </w:rPr>
              <w:t xml:space="preserve">Efficacy: progression free survival and overall survival </w:t>
            </w:r>
          </w:p>
        </w:tc>
      </w:tr>
    </w:tbl>
    <w:p w14:paraId="70B0D7BB" w14:textId="77777777" w:rsidR="00016A6E" w:rsidRPr="006868B4" w:rsidRDefault="00016A6E" w:rsidP="00016A6E">
      <w:pPr>
        <w:rPr>
          <w:rFonts w:asciiTheme="minorHAnsi" w:hAnsiTheme="minorHAnsi" w:cstheme="minorHAnsi"/>
          <w:color w:val="000000" w:themeColor="text1"/>
          <w:u w:val="single"/>
        </w:rPr>
      </w:pPr>
    </w:p>
    <w:p w14:paraId="4B512256" w14:textId="77777777" w:rsidR="00016A6E" w:rsidRPr="00BE5074" w:rsidRDefault="00016A6E" w:rsidP="00016A6E">
      <w:pPr>
        <w:rPr>
          <w:rFonts w:asciiTheme="minorHAnsi" w:hAnsiTheme="minorHAnsi" w:cstheme="minorHAnsi"/>
          <w:i/>
          <w:iCs/>
          <w:color w:val="000000" w:themeColor="text1"/>
        </w:rPr>
      </w:pPr>
      <w:r w:rsidRPr="00BE5074">
        <w:rPr>
          <w:rFonts w:asciiTheme="minorHAnsi" w:hAnsiTheme="minorHAnsi" w:cstheme="minorHAnsi"/>
          <w:i/>
          <w:iCs/>
          <w:color w:val="000000" w:themeColor="text1"/>
        </w:rPr>
        <w:t xml:space="preserve">Search strategy </w:t>
      </w:r>
    </w:p>
    <w:p w14:paraId="2A84E67A" w14:textId="52D70E91" w:rsidR="00016A6E" w:rsidRPr="006868B4" w:rsidRDefault="00016A6E" w:rsidP="00016A6E">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Initial s</w:t>
      </w:r>
      <w:r w:rsidRPr="006868B4">
        <w:rPr>
          <w:rFonts w:asciiTheme="minorHAnsi" w:hAnsiTheme="minorHAnsi" w:cstheme="minorHAnsi"/>
          <w:color w:val="000000" w:themeColor="text1"/>
        </w:rPr>
        <w:t xml:space="preserve">earches </w:t>
      </w:r>
      <w:r>
        <w:rPr>
          <w:rFonts w:asciiTheme="minorHAnsi" w:hAnsiTheme="minorHAnsi" w:cstheme="minorHAnsi"/>
          <w:color w:val="000000" w:themeColor="text1"/>
        </w:rPr>
        <w:t xml:space="preserve">were conducted </w:t>
      </w:r>
      <w:r w:rsidRPr="006868B4">
        <w:rPr>
          <w:rFonts w:asciiTheme="minorHAnsi" w:hAnsiTheme="minorHAnsi" w:cstheme="minorHAnsi"/>
          <w:color w:val="000000" w:themeColor="text1"/>
        </w:rPr>
        <w:t>in PubMed,</w:t>
      </w:r>
      <w:r>
        <w:rPr>
          <w:rFonts w:asciiTheme="minorHAnsi" w:hAnsiTheme="minorHAnsi" w:cstheme="minorHAnsi"/>
          <w:color w:val="000000" w:themeColor="text1"/>
        </w:rPr>
        <w:t xml:space="preserve"> MEDLINE and EMBASE via</w:t>
      </w:r>
      <w:r w:rsidRPr="006868B4">
        <w:rPr>
          <w:rFonts w:asciiTheme="minorHAnsi" w:hAnsiTheme="minorHAnsi" w:cstheme="minorHAnsi"/>
          <w:color w:val="000000" w:themeColor="text1"/>
        </w:rPr>
        <w:t xml:space="preserve"> Ovid and ClinicalTrials.gov </w:t>
      </w:r>
      <w:r>
        <w:rPr>
          <w:rFonts w:asciiTheme="minorHAnsi" w:hAnsiTheme="minorHAnsi" w:cstheme="minorHAnsi"/>
          <w:color w:val="000000" w:themeColor="text1"/>
        </w:rPr>
        <w:t>databases for studies</w:t>
      </w:r>
      <w:r w:rsidRPr="006868B4">
        <w:rPr>
          <w:rFonts w:asciiTheme="minorHAnsi" w:hAnsiTheme="minorHAnsi" w:cstheme="minorHAnsi"/>
          <w:color w:val="000000" w:themeColor="text1"/>
        </w:rPr>
        <w:t xml:space="preserve"> published before January 2025. </w:t>
      </w:r>
      <w:r>
        <w:rPr>
          <w:rFonts w:asciiTheme="minorHAnsi" w:hAnsiTheme="minorHAnsi" w:cstheme="minorHAnsi"/>
          <w:color w:val="000000" w:themeColor="text1"/>
        </w:rPr>
        <w:t>PubMed includes the professional MEDLINE content and therefore it was excluded to avoid duplication of search results. Ovid is a search platform that hosts multiple databases</w:t>
      </w:r>
      <w:r w:rsidR="00BE507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for this review MEDLINE and EMBASE were selected. </w:t>
      </w:r>
      <w:r w:rsidRPr="006868B4">
        <w:rPr>
          <w:rFonts w:asciiTheme="minorHAnsi" w:hAnsiTheme="minorHAnsi" w:cstheme="minorHAnsi"/>
          <w:color w:val="000000" w:themeColor="text1"/>
        </w:rPr>
        <w:t>ClinicalTrials.gov</w:t>
      </w:r>
      <w:r>
        <w:rPr>
          <w:rFonts w:asciiTheme="minorHAnsi" w:hAnsiTheme="minorHAnsi" w:cstheme="minorHAnsi"/>
          <w:color w:val="000000" w:themeColor="text1"/>
        </w:rPr>
        <w:t xml:space="preserve"> offered insights into ongoing and upcoming studies</w:t>
      </w:r>
      <w:r w:rsidR="00BE5074">
        <w:rPr>
          <w:rFonts w:asciiTheme="minorHAnsi" w:hAnsiTheme="minorHAnsi" w:cstheme="minorHAnsi"/>
          <w:color w:val="000000" w:themeColor="text1"/>
        </w:rPr>
        <w:t>.</w:t>
      </w:r>
      <w:r w:rsidR="00BE5074" w:rsidRPr="00BE5074">
        <w:rPr>
          <w:rFonts w:asciiTheme="minorHAnsi" w:hAnsiTheme="minorHAnsi" w:cstheme="minorHAnsi"/>
          <w:color w:val="000000" w:themeColor="text1"/>
          <w:vertAlign w:val="superscript"/>
        </w:rPr>
        <w:t>14</w:t>
      </w:r>
      <w:r>
        <w:rPr>
          <w:rFonts w:asciiTheme="minorHAnsi" w:hAnsiTheme="minorHAnsi" w:cstheme="minorHAnsi"/>
          <w:color w:val="000000" w:themeColor="text1"/>
        </w:rPr>
        <w:t xml:space="preserve"> Multiple databases are preferred, as relying on MEDLINE alone may lead to unrepresentative conclusions</w:t>
      </w:r>
      <w:r w:rsidR="00BE5074">
        <w:rPr>
          <w:rFonts w:asciiTheme="minorHAnsi" w:hAnsiTheme="minorHAnsi" w:cstheme="minorHAnsi"/>
          <w:color w:val="000000" w:themeColor="text1"/>
        </w:rPr>
        <w:t>.</w:t>
      </w:r>
      <w:r w:rsidR="00BE5074" w:rsidRPr="00BE5074">
        <w:rPr>
          <w:rFonts w:asciiTheme="minorHAnsi" w:hAnsiTheme="minorHAnsi" w:cstheme="minorHAnsi"/>
          <w:color w:val="000000" w:themeColor="text1"/>
          <w:vertAlign w:val="superscript"/>
        </w:rPr>
        <w:t>1</w:t>
      </w:r>
      <w:r w:rsidRPr="00CC1E93">
        <w:rPr>
          <w:rFonts w:asciiTheme="minorHAnsi" w:hAnsiTheme="minorHAnsi" w:cstheme="minorHAnsi"/>
          <w:color w:val="000000" w:themeColor="text1"/>
          <w:vertAlign w:val="superscript"/>
        </w:rPr>
        <w:t>5, 1</w:t>
      </w:r>
      <w:r w:rsidR="00BE5074">
        <w:rPr>
          <w:rFonts w:asciiTheme="minorHAnsi" w:hAnsiTheme="minorHAnsi" w:cstheme="minorHAnsi"/>
          <w:color w:val="000000" w:themeColor="text1"/>
          <w:vertAlign w:val="superscript"/>
        </w:rPr>
        <w:t>6</w:t>
      </w:r>
      <w:r>
        <w:rPr>
          <w:rFonts w:asciiTheme="minorHAnsi" w:hAnsiTheme="minorHAnsi" w:cstheme="minorHAnsi"/>
          <w:color w:val="000000" w:themeColor="text1"/>
        </w:rPr>
        <w:t xml:space="preserve"> A preliminary search of the sources to assess the scope of existing research regarding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w:t>
      </w:r>
      <w:r>
        <w:rPr>
          <w:rFonts w:asciiTheme="minorHAnsi" w:hAnsiTheme="minorHAnsi" w:cstheme="minorHAnsi"/>
          <w:color w:val="000000" w:themeColor="text1"/>
        </w:rPr>
        <w:t xml:space="preserve"> as a therapeutic option for NETs found no evidence of prior systematic reviews on this topic. </w:t>
      </w:r>
    </w:p>
    <w:p w14:paraId="2D1F4E62" w14:textId="6B34ACBA" w:rsidR="00016A6E" w:rsidRPr="00667257" w:rsidRDefault="00016A6E" w:rsidP="00BE5074">
      <w:pPr>
        <w:spacing w:before="24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rPr>
        <w:t>C</w:t>
      </w:r>
      <w:r w:rsidRPr="006868B4">
        <w:rPr>
          <w:rFonts w:asciiTheme="minorHAnsi" w:hAnsiTheme="minorHAnsi" w:cstheme="minorHAnsi"/>
          <w:color w:val="000000" w:themeColor="text1"/>
        </w:rPr>
        <w:t xml:space="preserve">omprehensive </w:t>
      </w:r>
      <w:r>
        <w:rPr>
          <w:rFonts w:asciiTheme="minorHAnsi" w:hAnsiTheme="minorHAnsi" w:cstheme="minorHAnsi"/>
          <w:color w:val="000000" w:themeColor="text1"/>
        </w:rPr>
        <w:t xml:space="preserve">database-specific </w:t>
      </w:r>
      <w:r w:rsidRPr="006868B4">
        <w:rPr>
          <w:rFonts w:asciiTheme="minorHAnsi" w:hAnsiTheme="minorHAnsi" w:cstheme="minorHAnsi"/>
          <w:color w:val="000000" w:themeColor="text1"/>
        </w:rPr>
        <w:t xml:space="preserve">search </w:t>
      </w:r>
      <w:r>
        <w:rPr>
          <w:rFonts w:asciiTheme="minorHAnsi" w:hAnsiTheme="minorHAnsi" w:cstheme="minorHAnsi"/>
          <w:color w:val="000000" w:themeColor="text1"/>
        </w:rPr>
        <w:t>terms [Tables 2</w:t>
      </w:r>
      <w:r w:rsidR="00BE5074">
        <w:rPr>
          <w:rFonts w:asciiTheme="minorHAnsi" w:hAnsiTheme="minorHAnsi" w:cstheme="minorHAnsi"/>
          <w:color w:val="000000" w:themeColor="text1"/>
        </w:rPr>
        <w:t xml:space="preserve"> and </w:t>
      </w:r>
      <w:r>
        <w:rPr>
          <w:rFonts w:asciiTheme="minorHAnsi" w:hAnsiTheme="minorHAnsi" w:cstheme="minorHAnsi"/>
          <w:color w:val="000000" w:themeColor="text1"/>
        </w:rPr>
        <w:t xml:space="preserve">3] were </w:t>
      </w:r>
      <w:r w:rsidRPr="006868B4">
        <w:rPr>
          <w:rFonts w:asciiTheme="minorHAnsi" w:hAnsiTheme="minorHAnsi" w:cstheme="minorHAnsi"/>
          <w:color w:val="000000" w:themeColor="text1"/>
        </w:rPr>
        <w:t xml:space="preserve">developed </w:t>
      </w:r>
      <w:r>
        <w:rPr>
          <w:rFonts w:asciiTheme="minorHAnsi" w:hAnsiTheme="minorHAnsi" w:cstheme="minorHAnsi"/>
          <w:color w:val="000000" w:themeColor="text1"/>
        </w:rPr>
        <w:t>based upon the</w:t>
      </w:r>
      <w:r w:rsidRPr="006868B4">
        <w:rPr>
          <w:rFonts w:asciiTheme="minorHAnsi" w:hAnsiTheme="minorHAnsi" w:cstheme="minorHAnsi"/>
          <w:color w:val="000000" w:themeColor="text1"/>
        </w:rPr>
        <w:t xml:space="preserve"> PICO elements </w:t>
      </w:r>
      <w:r>
        <w:rPr>
          <w:rFonts w:asciiTheme="minorHAnsi" w:hAnsiTheme="minorHAnsi" w:cstheme="minorHAnsi"/>
          <w:color w:val="000000" w:themeColor="text1"/>
        </w:rPr>
        <w:t>and</w:t>
      </w:r>
      <w:r w:rsidRPr="006868B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combined with </w:t>
      </w:r>
      <w:r w:rsidRPr="006868B4">
        <w:rPr>
          <w:rFonts w:asciiTheme="minorHAnsi" w:hAnsiTheme="minorHAnsi" w:cstheme="minorHAnsi"/>
          <w:color w:val="000000" w:themeColor="text1"/>
        </w:rPr>
        <w:t xml:space="preserve">Boolean operators </w:t>
      </w:r>
      <w:r w:rsidR="00BE5074">
        <w:rPr>
          <w:rFonts w:asciiTheme="minorHAnsi" w:hAnsiTheme="minorHAnsi" w:cstheme="minorHAnsi"/>
          <w:color w:val="000000" w:themeColor="text1"/>
        </w:rPr>
        <w:t>(</w:t>
      </w:r>
      <w:r w:rsidRPr="006868B4">
        <w:rPr>
          <w:rFonts w:asciiTheme="minorHAnsi" w:hAnsiTheme="minorHAnsi" w:cstheme="minorHAnsi"/>
          <w:color w:val="000000" w:themeColor="text1"/>
        </w:rPr>
        <w:t>AND, OR, NO</w:t>
      </w:r>
      <w:r w:rsidR="00BE5074">
        <w:rPr>
          <w:rFonts w:asciiTheme="minorHAnsi" w:hAnsiTheme="minorHAnsi" w:cstheme="minorHAnsi"/>
          <w:color w:val="000000" w:themeColor="text1"/>
        </w:rPr>
        <w:t>)</w:t>
      </w:r>
      <w:r w:rsidRPr="006868B4">
        <w:rPr>
          <w:rFonts w:asciiTheme="minorHAnsi" w:hAnsiTheme="minorHAnsi" w:cstheme="minorHAnsi"/>
          <w:color w:val="000000" w:themeColor="text1"/>
        </w:rPr>
        <w:t xml:space="preserve">] to </w:t>
      </w:r>
      <w:r>
        <w:rPr>
          <w:rFonts w:asciiTheme="minorHAnsi" w:hAnsiTheme="minorHAnsi" w:cstheme="minorHAnsi"/>
          <w:color w:val="000000" w:themeColor="text1"/>
        </w:rPr>
        <w:t xml:space="preserve">improve search accuracy </w:t>
      </w:r>
      <w:r w:rsidRPr="006868B4">
        <w:rPr>
          <w:rFonts w:asciiTheme="minorHAnsi" w:hAnsiTheme="minorHAnsi" w:cstheme="minorHAnsi"/>
          <w:color w:val="000000" w:themeColor="text1"/>
        </w:rPr>
        <w:t>and relevan</w:t>
      </w:r>
      <w:r>
        <w:rPr>
          <w:rFonts w:asciiTheme="minorHAnsi" w:hAnsiTheme="minorHAnsi" w:cstheme="minorHAnsi"/>
          <w:color w:val="000000" w:themeColor="text1"/>
        </w:rPr>
        <w:t>ce</w:t>
      </w:r>
      <w:r w:rsidR="00BE5074">
        <w:rPr>
          <w:rFonts w:asciiTheme="minorHAnsi" w:hAnsiTheme="minorHAnsi" w:cstheme="minorHAnsi"/>
          <w:color w:val="000000" w:themeColor="text1"/>
        </w:rPr>
        <w:t>.</w:t>
      </w:r>
      <w:r w:rsidR="00BE5074" w:rsidRPr="00BE5074">
        <w:rPr>
          <w:rFonts w:asciiTheme="minorHAnsi" w:hAnsiTheme="minorHAnsi" w:cstheme="minorHAnsi"/>
          <w:color w:val="000000" w:themeColor="text1"/>
          <w:vertAlign w:val="superscript"/>
        </w:rPr>
        <w:t>17</w:t>
      </w:r>
      <w:r w:rsidRPr="006868B4">
        <w:rPr>
          <w:rFonts w:asciiTheme="minorHAnsi" w:hAnsiTheme="minorHAnsi" w:cstheme="minorHAnsi"/>
          <w:color w:val="000000" w:themeColor="text1"/>
        </w:rPr>
        <w:t xml:space="preserve"> Eligibility criteria </w:t>
      </w:r>
      <w:r>
        <w:rPr>
          <w:rFonts w:asciiTheme="minorHAnsi" w:hAnsiTheme="minorHAnsi" w:cstheme="minorHAnsi"/>
          <w:color w:val="000000" w:themeColor="text1"/>
        </w:rPr>
        <w:t>[Table 4] were also based on PICO elements</w:t>
      </w:r>
      <w:r w:rsidR="00BE5074">
        <w:rPr>
          <w:rFonts w:asciiTheme="minorHAnsi" w:hAnsiTheme="minorHAnsi" w:cstheme="minorHAnsi"/>
          <w:color w:val="000000" w:themeColor="text1"/>
        </w:rPr>
        <w:t>,</w:t>
      </w:r>
      <w:r w:rsidR="00BE5074" w:rsidRPr="00BE5074">
        <w:rPr>
          <w:rFonts w:asciiTheme="minorHAnsi" w:hAnsiTheme="minorHAnsi" w:cstheme="minorHAnsi"/>
          <w:color w:val="000000" w:themeColor="text1"/>
          <w:vertAlign w:val="superscript"/>
        </w:rPr>
        <w:t>18</w:t>
      </w:r>
      <w:r>
        <w:rPr>
          <w:rFonts w:asciiTheme="minorHAnsi" w:hAnsiTheme="minorHAnsi" w:cstheme="minorHAnsi"/>
          <w:color w:val="000000" w:themeColor="text1"/>
        </w:rPr>
        <w:t xml:space="preserve"> plus additional search limits to refine and focus the search on the review question</w:t>
      </w:r>
      <w:r w:rsidRPr="006868B4">
        <w:rPr>
          <w:rFonts w:asciiTheme="minorHAnsi" w:hAnsiTheme="minorHAnsi" w:cstheme="minorHAnsi"/>
          <w:color w:val="000000" w:themeColor="text1"/>
        </w:rPr>
        <w:t xml:space="preserve">. </w:t>
      </w:r>
      <w:r>
        <w:rPr>
          <w:rFonts w:asciiTheme="minorHAnsi" w:hAnsiTheme="minorHAnsi" w:cstheme="minorHAnsi"/>
          <w:color w:val="000000" w:themeColor="text1"/>
        </w:rPr>
        <w:t>Expert guidance for undertaking reviews in health care indicates that prognostic studies require adequate sample sizes to minimise the threat of selection bias</w:t>
      </w:r>
      <w:r w:rsidR="00BE5074">
        <w:rPr>
          <w:rFonts w:asciiTheme="minorHAnsi" w:hAnsiTheme="minorHAnsi" w:cstheme="minorHAnsi"/>
          <w:color w:val="000000" w:themeColor="text1"/>
        </w:rPr>
        <w:t>.</w:t>
      </w:r>
      <w:r w:rsidR="00BE5074" w:rsidRPr="00BE5074">
        <w:rPr>
          <w:rFonts w:asciiTheme="minorHAnsi" w:hAnsiTheme="minorHAnsi" w:cstheme="minorHAnsi"/>
          <w:color w:val="000000" w:themeColor="text1"/>
          <w:vertAlign w:val="superscript"/>
        </w:rPr>
        <w:t>19</w:t>
      </w:r>
      <w:r>
        <w:rPr>
          <w:rFonts w:asciiTheme="minorHAnsi" w:hAnsiTheme="minorHAnsi" w:cstheme="minorHAnsi"/>
          <w:color w:val="000000" w:themeColor="text1"/>
        </w:rPr>
        <w:t xml:space="preserve"> Therefore, inclusion criteria here required a cohort size of 100 patients or greater. Additionally, the search was limited to 2015</w:t>
      </w:r>
      <w:r w:rsidR="00C5391B">
        <w:rPr>
          <w:rFonts w:asciiTheme="minorHAnsi" w:hAnsiTheme="minorHAnsi" w:cstheme="minorHAnsi"/>
          <w:color w:val="000000" w:themeColor="text1"/>
        </w:rPr>
        <w:t>–</w:t>
      </w:r>
      <w:r>
        <w:rPr>
          <w:rFonts w:asciiTheme="minorHAnsi" w:hAnsiTheme="minorHAnsi" w:cstheme="minorHAnsi"/>
          <w:color w:val="000000" w:themeColor="text1"/>
        </w:rPr>
        <w:t xml:space="preserve">2025 to ensure findings were relevant to current therapeutic practice. </w:t>
      </w:r>
    </w:p>
    <w:p w14:paraId="250ED494" w14:textId="77777777" w:rsidR="00016A6E" w:rsidRPr="00527E4E" w:rsidRDefault="00016A6E" w:rsidP="00016A6E">
      <w:pPr>
        <w:rPr>
          <w:rFonts w:asciiTheme="minorHAnsi" w:hAnsiTheme="minorHAnsi" w:cstheme="minorHAnsi"/>
          <w:color w:val="000000" w:themeColor="text1"/>
          <w:sz w:val="32"/>
          <w:szCs w:val="32"/>
        </w:rPr>
      </w:pPr>
    </w:p>
    <w:p w14:paraId="6C15DC74" w14:textId="77777777" w:rsidR="00C5391B" w:rsidRDefault="00C5391B" w:rsidP="00016A6E">
      <w:pPr>
        <w:rPr>
          <w:rFonts w:asciiTheme="minorHAnsi" w:hAnsiTheme="minorHAnsi" w:cstheme="minorHAnsi"/>
          <w:i/>
          <w:iCs/>
          <w:color w:val="000000" w:themeColor="text1"/>
          <w:sz w:val="20"/>
          <w:szCs w:val="20"/>
        </w:rPr>
      </w:pPr>
    </w:p>
    <w:p w14:paraId="44FDF67A" w14:textId="5ED352A1" w:rsidR="00016A6E" w:rsidRPr="00527E4E" w:rsidRDefault="00016A6E" w:rsidP="00016A6E">
      <w:pPr>
        <w:rPr>
          <w:rFonts w:asciiTheme="minorHAnsi" w:hAnsiTheme="minorHAnsi" w:cstheme="minorHAnsi"/>
          <w:i/>
          <w:iCs/>
          <w:color w:val="000000" w:themeColor="text1"/>
          <w:sz w:val="20"/>
          <w:szCs w:val="20"/>
        </w:rPr>
      </w:pPr>
      <w:r w:rsidRPr="00527E4E">
        <w:rPr>
          <w:rFonts w:asciiTheme="minorHAnsi" w:hAnsiTheme="minorHAnsi" w:cstheme="minorHAnsi"/>
          <w:i/>
          <w:iCs/>
          <w:color w:val="000000" w:themeColor="text1"/>
          <w:sz w:val="20"/>
          <w:szCs w:val="20"/>
        </w:rPr>
        <w:t xml:space="preserve">Table </w:t>
      </w:r>
      <w:r>
        <w:rPr>
          <w:rFonts w:asciiTheme="minorHAnsi" w:hAnsiTheme="minorHAnsi" w:cstheme="minorHAnsi"/>
          <w:i/>
          <w:iCs/>
          <w:color w:val="000000" w:themeColor="text1"/>
          <w:sz w:val="20"/>
          <w:szCs w:val="20"/>
        </w:rPr>
        <w:t>2:</w:t>
      </w:r>
      <w:r w:rsidRPr="00527E4E">
        <w:rPr>
          <w:rFonts w:asciiTheme="minorHAnsi" w:hAnsiTheme="minorHAnsi" w:cstheme="minorHAnsi"/>
          <w:i/>
          <w:iCs/>
          <w:color w:val="000000" w:themeColor="text1"/>
          <w:sz w:val="20"/>
          <w:szCs w:val="20"/>
        </w:rPr>
        <w:t xml:space="preserve"> </w:t>
      </w:r>
      <w:r>
        <w:rPr>
          <w:rFonts w:asciiTheme="minorHAnsi" w:hAnsiTheme="minorHAnsi" w:cstheme="minorHAnsi"/>
          <w:i/>
          <w:iCs/>
          <w:color w:val="000000" w:themeColor="text1"/>
          <w:sz w:val="20"/>
          <w:szCs w:val="20"/>
        </w:rPr>
        <w:t>MEDLINE</w:t>
      </w:r>
      <w:r w:rsidRPr="00527E4E">
        <w:rPr>
          <w:rFonts w:asciiTheme="minorHAnsi" w:hAnsiTheme="minorHAnsi" w:cstheme="minorHAnsi"/>
          <w:i/>
          <w:iCs/>
          <w:color w:val="000000" w:themeColor="text1"/>
          <w:sz w:val="20"/>
          <w:szCs w:val="20"/>
        </w:rPr>
        <w:t xml:space="preserve"> search</w:t>
      </w:r>
      <w:r>
        <w:rPr>
          <w:rFonts w:asciiTheme="minorHAnsi" w:hAnsiTheme="minorHAnsi" w:cstheme="minorHAnsi"/>
          <w:i/>
          <w:iCs/>
          <w:color w:val="000000" w:themeColor="text1"/>
          <w:sz w:val="20"/>
          <w:szCs w:val="20"/>
        </w:rPr>
        <w:t xml:space="preserve"> term</w:t>
      </w:r>
      <w:r w:rsidRPr="00527E4E">
        <w:rPr>
          <w:rFonts w:asciiTheme="minorHAnsi" w:hAnsiTheme="minorHAnsi" w:cstheme="minorHAnsi"/>
          <w:i/>
          <w:iCs/>
          <w:color w:val="000000" w:themeColor="text1"/>
          <w:sz w:val="20"/>
          <w:szCs w:val="20"/>
        </w:rPr>
        <w:t xml:space="preserve"> strategy </w:t>
      </w:r>
    </w:p>
    <w:tbl>
      <w:tblPr>
        <w:tblW w:w="920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230"/>
        <w:gridCol w:w="2645"/>
        <w:gridCol w:w="1953"/>
        <w:gridCol w:w="1376"/>
      </w:tblGrid>
      <w:tr w:rsidR="00016A6E" w:rsidRPr="006868B4" w14:paraId="4AC6D3E2" w14:textId="77777777" w:rsidTr="005F54BD">
        <w:tc>
          <w:tcPr>
            <w:tcW w:w="3230" w:type="dxa"/>
            <w:tcBorders>
              <w:top w:val="single" w:sz="8" w:space="0" w:color="A3A3A3"/>
              <w:left w:val="single" w:sz="8" w:space="0" w:color="A3A3A3"/>
              <w:bottom w:val="single" w:sz="8" w:space="0" w:color="A3A3A3"/>
              <w:right w:val="single" w:sz="8" w:space="0" w:color="A3A3A3"/>
            </w:tcBorders>
            <w:shd w:val="clear" w:color="auto" w:fill="B4C6E7" w:themeFill="accent1" w:themeFillTint="66"/>
            <w:tcMar>
              <w:top w:w="80" w:type="dxa"/>
              <w:left w:w="80" w:type="dxa"/>
              <w:bottom w:w="80" w:type="dxa"/>
              <w:right w:w="80" w:type="dxa"/>
            </w:tcMar>
            <w:hideMark/>
          </w:tcPr>
          <w:p w14:paraId="5DE56F73"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Concept/Search </w:t>
            </w:r>
          </w:p>
        </w:tc>
        <w:tc>
          <w:tcPr>
            <w:tcW w:w="2645" w:type="dxa"/>
            <w:tcBorders>
              <w:top w:val="single" w:sz="8" w:space="0" w:color="A3A3A3"/>
              <w:left w:val="single" w:sz="8" w:space="0" w:color="A3A3A3"/>
              <w:bottom w:val="single" w:sz="8" w:space="0" w:color="A3A3A3"/>
              <w:right w:val="single" w:sz="8" w:space="0" w:color="A3A3A3"/>
            </w:tcBorders>
            <w:shd w:val="clear" w:color="auto" w:fill="B4C6E7" w:themeFill="accent1" w:themeFillTint="66"/>
            <w:tcMar>
              <w:top w:w="80" w:type="dxa"/>
              <w:left w:w="80" w:type="dxa"/>
              <w:bottom w:w="80" w:type="dxa"/>
              <w:right w:w="80" w:type="dxa"/>
            </w:tcMar>
            <w:hideMark/>
          </w:tcPr>
          <w:p w14:paraId="45F17368"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Search term variations </w:t>
            </w:r>
          </w:p>
        </w:tc>
        <w:tc>
          <w:tcPr>
            <w:tcW w:w="1953" w:type="dxa"/>
            <w:tcBorders>
              <w:top w:val="single" w:sz="8" w:space="0" w:color="A3A3A3"/>
              <w:left w:val="single" w:sz="8" w:space="0" w:color="A3A3A3"/>
              <w:bottom w:val="single" w:sz="8" w:space="0" w:color="A3A3A3"/>
              <w:right w:val="single" w:sz="8" w:space="0" w:color="A3A3A3"/>
            </w:tcBorders>
            <w:shd w:val="clear" w:color="auto" w:fill="B4C6E7" w:themeFill="accent1" w:themeFillTint="66"/>
            <w:tcMar>
              <w:top w:w="80" w:type="dxa"/>
              <w:left w:w="80" w:type="dxa"/>
              <w:bottom w:w="80" w:type="dxa"/>
              <w:right w:w="80" w:type="dxa"/>
            </w:tcMar>
            <w:hideMark/>
          </w:tcPr>
          <w:p w14:paraId="5AE53472"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Limiters/Expanders </w:t>
            </w:r>
          </w:p>
        </w:tc>
        <w:tc>
          <w:tcPr>
            <w:tcW w:w="1376" w:type="dxa"/>
            <w:tcBorders>
              <w:top w:val="single" w:sz="8" w:space="0" w:color="A3A3A3"/>
              <w:left w:val="single" w:sz="8" w:space="0" w:color="A3A3A3"/>
              <w:bottom w:val="single" w:sz="8" w:space="0" w:color="A3A3A3"/>
              <w:right w:val="single" w:sz="8" w:space="0" w:color="A3A3A3"/>
            </w:tcBorders>
            <w:shd w:val="clear" w:color="auto" w:fill="B4C6E7" w:themeFill="accent1" w:themeFillTint="66"/>
            <w:tcMar>
              <w:top w:w="80" w:type="dxa"/>
              <w:left w:w="80" w:type="dxa"/>
              <w:bottom w:w="80" w:type="dxa"/>
              <w:right w:w="80" w:type="dxa"/>
            </w:tcMar>
            <w:hideMark/>
          </w:tcPr>
          <w:p w14:paraId="2619E730"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Results </w:t>
            </w:r>
          </w:p>
        </w:tc>
      </w:tr>
      <w:tr w:rsidR="00016A6E" w:rsidRPr="006868B4" w14:paraId="7A093E5B" w14:textId="77777777" w:rsidTr="005F54BD">
        <w:tc>
          <w:tcPr>
            <w:tcW w:w="3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BB6ED3"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 1 </w:t>
            </w:r>
          </w:p>
          <w:p w14:paraId="599779CE"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Neuroendocrine Tumours </w:t>
            </w:r>
          </w:p>
        </w:tc>
        <w:tc>
          <w:tcPr>
            <w:tcW w:w="2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28B5EB"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NETs, NEN, Neuroendocrine Neoplasms</w:t>
            </w:r>
          </w:p>
        </w:tc>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D7C94B"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Boolean: OR</w:t>
            </w:r>
          </w:p>
        </w:tc>
        <w:tc>
          <w:tcPr>
            <w:tcW w:w="1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5222AE"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245, 739</w:t>
            </w:r>
          </w:p>
        </w:tc>
      </w:tr>
      <w:tr w:rsidR="00016A6E" w:rsidRPr="006868B4" w14:paraId="62D22F47" w14:textId="77777777" w:rsidTr="005F54BD">
        <w:tc>
          <w:tcPr>
            <w:tcW w:w="3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AA1E65"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#2 </w:t>
            </w:r>
          </w:p>
          <w:p w14:paraId="4C5CF3EA"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Lu-DOTATATE</w:t>
            </w:r>
          </w:p>
        </w:tc>
        <w:tc>
          <w:tcPr>
            <w:tcW w:w="2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062F14"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Lu, Lutetium</w:t>
            </w:r>
          </w:p>
        </w:tc>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48C849"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Boolean: OR</w:t>
            </w:r>
          </w:p>
        </w:tc>
        <w:tc>
          <w:tcPr>
            <w:tcW w:w="1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38974C"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4,785</w:t>
            </w:r>
          </w:p>
          <w:p w14:paraId="2E112556"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 </w:t>
            </w:r>
          </w:p>
        </w:tc>
      </w:tr>
      <w:tr w:rsidR="00016A6E" w:rsidRPr="006868B4" w14:paraId="75FF9AC4" w14:textId="77777777" w:rsidTr="005F54BD">
        <w:tc>
          <w:tcPr>
            <w:tcW w:w="3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6CAB3C"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#3 </w:t>
            </w:r>
          </w:p>
          <w:p w14:paraId="47F1DA9D"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Efficacy</w:t>
            </w:r>
          </w:p>
        </w:tc>
        <w:tc>
          <w:tcPr>
            <w:tcW w:w="2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5C8D42"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Effectiveness, Success, Benefit, Advantage</w:t>
            </w:r>
          </w:p>
        </w:tc>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A3D6C0"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Boolean: OR</w:t>
            </w:r>
          </w:p>
        </w:tc>
        <w:tc>
          <w:tcPr>
            <w:tcW w:w="1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7238F3"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13,700,511</w:t>
            </w:r>
          </w:p>
        </w:tc>
      </w:tr>
      <w:tr w:rsidR="00016A6E" w:rsidRPr="006868B4" w14:paraId="3E7B6082" w14:textId="77777777" w:rsidTr="005F54BD">
        <w:tc>
          <w:tcPr>
            <w:tcW w:w="3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E13EE5"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#4</w:t>
            </w:r>
          </w:p>
          <w:p w14:paraId="0136D467"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Survival</w:t>
            </w:r>
          </w:p>
        </w:tc>
        <w:tc>
          <w:tcPr>
            <w:tcW w:w="2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7F148A"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Mortality</w:t>
            </w:r>
          </w:p>
        </w:tc>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43B08D"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Boolean: OR</w:t>
            </w:r>
          </w:p>
        </w:tc>
        <w:tc>
          <w:tcPr>
            <w:tcW w:w="1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D8DBF6"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2,867,566</w:t>
            </w:r>
          </w:p>
        </w:tc>
      </w:tr>
      <w:tr w:rsidR="00016A6E" w:rsidRPr="006868B4" w14:paraId="76B0EF72" w14:textId="77777777" w:rsidTr="005F54BD">
        <w:tc>
          <w:tcPr>
            <w:tcW w:w="3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3223AF"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#5</w:t>
            </w:r>
          </w:p>
          <w:p w14:paraId="048FBCDB"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Tumour Progression</w:t>
            </w:r>
          </w:p>
        </w:tc>
        <w:tc>
          <w:tcPr>
            <w:tcW w:w="2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4CCD97"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Tumour Growth</w:t>
            </w:r>
          </w:p>
        </w:tc>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77DDE4"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Boolean: OR</w:t>
            </w:r>
          </w:p>
        </w:tc>
        <w:tc>
          <w:tcPr>
            <w:tcW w:w="1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884AF8"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1,125,314</w:t>
            </w:r>
          </w:p>
        </w:tc>
      </w:tr>
      <w:tr w:rsidR="00016A6E" w:rsidRPr="006868B4" w14:paraId="7BBC4279" w14:textId="77777777" w:rsidTr="005F54BD">
        <w:tc>
          <w:tcPr>
            <w:tcW w:w="3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DEE311"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Search 1</w:t>
            </w:r>
          </w:p>
        </w:tc>
        <w:tc>
          <w:tcPr>
            <w:tcW w:w="2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BA10B8"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#1, #2, #4</w:t>
            </w:r>
          </w:p>
        </w:tc>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201AF7"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Boolean: AND</w:t>
            </w:r>
          </w:p>
        </w:tc>
        <w:tc>
          <w:tcPr>
            <w:tcW w:w="1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B75172"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187</w:t>
            </w:r>
          </w:p>
        </w:tc>
      </w:tr>
      <w:tr w:rsidR="00016A6E" w:rsidRPr="006868B4" w14:paraId="3301B8F1" w14:textId="77777777" w:rsidTr="005F54BD">
        <w:tc>
          <w:tcPr>
            <w:tcW w:w="3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4F27C7"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Search 2</w:t>
            </w:r>
          </w:p>
        </w:tc>
        <w:tc>
          <w:tcPr>
            <w:tcW w:w="2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B5AEAB"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#1, #2, #5</w:t>
            </w:r>
          </w:p>
        </w:tc>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FACADD"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Boolean: AND</w:t>
            </w:r>
          </w:p>
        </w:tc>
        <w:tc>
          <w:tcPr>
            <w:tcW w:w="1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454200"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229</w:t>
            </w:r>
          </w:p>
        </w:tc>
      </w:tr>
      <w:tr w:rsidR="00016A6E" w:rsidRPr="006868B4" w14:paraId="795923A2" w14:textId="77777777" w:rsidTr="005F54BD">
        <w:tc>
          <w:tcPr>
            <w:tcW w:w="3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20BF34"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Search 3</w:t>
            </w:r>
          </w:p>
        </w:tc>
        <w:tc>
          <w:tcPr>
            <w:tcW w:w="2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541CEF"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#1, #2, #3, #4, #5</w:t>
            </w:r>
          </w:p>
        </w:tc>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E6DE01"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Boolean: AND</w:t>
            </w:r>
          </w:p>
        </w:tc>
        <w:tc>
          <w:tcPr>
            <w:tcW w:w="1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DFBCC1"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57</w:t>
            </w:r>
          </w:p>
        </w:tc>
      </w:tr>
    </w:tbl>
    <w:p w14:paraId="6BB8F0CA" w14:textId="77777777" w:rsidR="00016A6E" w:rsidRPr="006868B4" w:rsidRDefault="00016A6E" w:rsidP="00016A6E">
      <w:pPr>
        <w:rPr>
          <w:rFonts w:asciiTheme="minorHAnsi" w:hAnsiTheme="minorHAnsi" w:cstheme="minorHAnsi"/>
          <w:i/>
          <w:iCs/>
          <w:color w:val="000000" w:themeColor="text1"/>
          <w:sz w:val="16"/>
          <w:szCs w:val="16"/>
        </w:rPr>
      </w:pPr>
    </w:p>
    <w:p w14:paraId="30FA67CD" w14:textId="77777777" w:rsidR="00016A6E" w:rsidRPr="00527E4E" w:rsidRDefault="00016A6E" w:rsidP="00016A6E">
      <w:pPr>
        <w:rPr>
          <w:rFonts w:asciiTheme="minorHAnsi" w:hAnsiTheme="minorHAnsi" w:cstheme="minorHAnsi"/>
          <w:i/>
          <w:iCs/>
          <w:color w:val="000000" w:themeColor="text1"/>
          <w:sz w:val="20"/>
          <w:szCs w:val="20"/>
        </w:rPr>
      </w:pPr>
      <w:r w:rsidRPr="00527E4E">
        <w:rPr>
          <w:rFonts w:asciiTheme="minorHAnsi" w:hAnsiTheme="minorHAnsi" w:cstheme="minorHAnsi"/>
          <w:i/>
          <w:iCs/>
          <w:color w:val="000000" w:themeColor="text1"/>
          <w:sz w:val="20"/>
          <w:szCs w:val="20"/>
        </w:rPr>
        <w:t>Table 3</w:t>
      </w:r>
      <w:r>
        <w:rPr>
          <w:rFonts w:asciiTheme="minorHAnsi" w:hAnsiTheme="minorHAnsi" w:cstheme="minorHAnsi"/>
          <w:i/>
          <w:iCs/>
          <w:color w:val="000000" w:themeColor="text1"/>
          <w:sz w:val="20"/>
          <w:szCs w:val="20"/>
        </w:rPr>
        <w:t>:</w:t>
      </w:r>
      <w:r w:rsidRPr="00527E4E">
        <w:rPr>
          <w:rFonts w:asciiTheme="minorHAnsi" w:hAnsiTheme="minorHAnsi" w:cstheme="minorHAnsi"/>
          <w:i/>
          <w:iCs/>
          <w:color w:val="000000" w:themeColor="text1"/>
          <w:sz w:val="20"/>
          <w:szCs w:val="20"/>
        </w:rPr>
        <w:t xml:space="preserve"> </w:t>
      </w:r>
      <w:r>
        <w:rPr>
          <w:rFonts w:asciiTheme="minorHAnsi" w:hAnsiTheme="minorHAnsi" w:cstheme="minorHAnsi"/>
          <w:i/>
          <w:iCs/>
          <w:color w:val="000000" w:themeColor="text1"/>
          <w:sz w:val="20"/>
          <w:szCs w:val="20"/>
        </w:rPr>
        <w:t>EMBASE</w:t>
      </w:r>
      <w:r w:rsidRPr="00527E4E">
        <w:rPr>
          <w:rFonts w:asciiTheme="minorHAnsi" w:hAnsiTheme="minorHAnsi" w:cstheme="minorHAnsi"/>
          <w:i/>
          <w:iCs/>
          <w:color w:val="000000" w:themeColor="text1"/>
          <w:sz w:val="20"/>
          <w:szCs w:val="20"/>
        </w:rPr>
        <w:t xml:space="preserve"> search</w:t>
      </w:r>
      <w:r>
        <w:rPr>
          <w:rFonts w:asciiTheme="minorHAnsi" w:hAnsiTheme="minorHAnsi" w:cstheme="minorHAnsi"/>
          <w:i/>
          <w:iCs/>
          <w:color w:val="000000" w:themeColor="text1"/>
          <w:sz w:val="20"/>
          <w:szCs w:val="20"/>
        </w:rPr>
        <w:t xml:space="preserve"> term</w:t>
      </w:r>
      <w:r w:rsidRPr="00527E4E">
        <w:rPr>
          <w:rFonts w:asciiTheme="minorHAnsi" w:hAnsiTheme="minorHAnsi" w:cstheme="minorHAnsi"/>
          <w:i/>
          <w:iCs/>
          <w:color w:val="000000" w:themeColor="text1"/>
          <w:sz w:val="20"/>
          <w:szCs w:val="20"/>
        </w:rPr>
        <w:t xml:space="preserve"> strategy </w:t>
      </w:r>
    </w:p>
    <w:tbl>
      <w:tblPr>
        <w:tblW w:w="920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296"/>
        <w:gridCol w:w="2687"/>
        <w:gridCol w:w="1956"/>
        <w:gridCol w:w="1265"/>
      </w:tblGrid>
      <w:tr w:rsidR="00016A6E" w:rsidRPr="006868B4" w14:paraId="22A9B975" w14:textId="77777777" w:rsidTr="005F54BD">
        <w:tc>
          <w:tcPr>
            <w:tcW w:w="3296" w:type="dxa"/>
            <w:tcBorders>
              <w:top w:val="single" w:sz="8" w:space="0" w:color="A3A3A3"/>
              <w:left w:val="single" w:sz="8" w:space="0" w:color="A3A3A3"/>
              <w:bottom w:val="single" w:sz="8" w:space="0" w:color="A3A3A3"/>
              <w:right w:val="single" w:sz="8" w:space="0" w:color="A3A3A3"/>
            </w:tcBorders>
            <w:shd w:val="clear" w:color="auto" w:fill="B4C6E7" w:themeFill="accent1" w:themeFillTint="66"/>
            <w:tcMar>
              <w:top w:w="80" w:type="dxa"/>
              <w:left w:w="80" w:type="dxa"/>
              <w:bottom w:w="80" w:type="dxa"/>
              <w:right w:w="80" w:type="dxa"/>
            </w:tcMar>
            <w:hideMark/>
          </w:tcPr>
          <w:p w14:paraId="116CE50A"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Concept/Search </w:t>
            </w:r>
          </w:p>
        </w:tc>
        <w:tc>
          <w:tcPr>
            <w:tcW w:w="2687" w:type="dxa"/>
            <w:tcBorders>
              <w:top w:val="single" w:sz="8" w:space="0" w:color="A3A3A3"/>
              <w:left w:val="single" w:sz="8" w:space="0" w:color="A3A3A3"/>
              <w:bottom w:val="single" w:sz="8" w:space="0" w:color="A3A3A3"/>
              <w:right w:val="single" w:sz="8" w:space="0" w:color="A3A3A3"/>
            </w:tcBorders>
            <w:shd w:val="clear" w:color="auto" w:fill="B4C6E7" w:themeFill="accent1" w:themeFillTint="66"/>
            <w:tcMar>
              <w:top w:w="80" w:type="dxa"/>
              <w:left w:w="80" w:type="dxa"/>
              <w:bottom w:w="80" w:type="dxa"/>
              <w:right w:w="80" w:type="dxa"/>
            </w:tcMar>
            <w:hideMark/>
          </w:tcPr>
          <w:p w14:paraId="199B61A3"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Search term variations </w:t>
            </w:r>
          </w:p>
        </w:tc>
        <w:tc>
          <w:tcPr>
            <w:tcW w:w="1956" w:type="dxa"/>
            <w:tcBorders>
              <w:top w:val="single" w:sz="8" w:space="0" w:color="A3A3A3"/>
              <w:left w:val="single" w:sz="8" w:space="0" w:color="A3A3A3"/>
              <w:bottom w:val="single" w:sz="8" w:space="0" w:color="A3A3A3"/>
              <w:right w:val="single" w:sz="8" w:space="0" w:color="A3A3A3"/>
            </w:tcBorders>
            <w:shd w:val="clear" w:color="auto" w:fill="B4C6E7" w:themeFill="accent1" w:themeFillTint="66"/>
            <w:tcMar>
              <w:top w:w="80" w:type="dxa"/>
              <w:left w:w="80" w:type="dxa"/>
              <w:bottom w:w="80" w:type="dxa"/>
              <w:right w:w="80" w:type="dxa"/>
            </w:tcMar>
            <w:hideMark/>
          </w:tcPr>
          <w:p w14:paraId="78FD7C1C"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Limiters/Expanders </w:t>
            </w:r>
          </w:p>
        </w:tc>
        <w:tc>
          <w:tcPr>
            <w:tcW w:w="1265" w:type="dxa"/>
            <w:tcBorders>
              <w:top w:val="single" w:sz="8" w:space="0" w:color="A3A3A3"/>
              <w:left w:val="single" w:sz="8" w:space="0" w:color="A3A3A3"/>
              <w:bottom w:val="single" w:sz="8" w:space="0" w:color="A3A3A3"/>
              <w:right w:val="single" w:sz="8" w:space="0" w:color="A3A3A3"/>
            </w:tcBorders>
            <w:shd w:val="clear" w:color="auto" w:fill="B4C6E7" w:themeFill="accent1" w:themeFillTint="66"/>
            <w:tcMar>
              <w:top w:w="80" w:type="dxa"/>
              <w:left w:w="80" w:type="dxa"/>
              <w:bottom w:w="80" w:type="dxa"/>
              <w:right w:w="80" w:type="dxa"/>
            </w:tcMar>
            <w:hideMark/>
          </w:tcPr>
          <w:p w14:paraId="2F8F2C78"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Results </w:t>
            </w:r>
          </w:p>
        </w:tc>
      </w:tr>
      <w:tr w:rsidR="00016A6E" w:rsidRPr="006868B4" w14:paraId="730546DF" w14:textId="77777777" w:rsidTr="005F54BD">
        <w:tc>
          <w:tcPr>
            <w:tcW w:w="32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3C8A61"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 1 </w:t>
            </w:r>
          </w:p>
          <w:p w14:paraId="01959305"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Neuroendocrine Tumours </w:t>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35C9E2"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NETs, NEN, Neuroendocrine Neoplasms</w:t>
            </w:r>
          </w:p>
        </w:tc>
        <w:tc>
          <w:tcPr>
            <w:tcW w:w="1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8EBD3E"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Boolean: OR</w:t>
            </w:r>
          </w:p>
        </w:tc>
        <w:tc>
          <w:tcPr>
            <w:tcW w:w="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FEC62C"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4188</w:t>
            </w:r>
          </w:p>
        </w:tc>
      </w:tr>
      <w:tr w:rsidR="00016A6E" w:rsidRPr="006868B4" w14:paraId="1E76B7CA" w14:textId="77777777" w:rsidTr="005F54BD">
        <w:tc>
          <w:tcPr>
            <w:tcW w:w="32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7CBE64"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#2 </w:t>
            </w:r>
          </w:p>
          <w:p w14:paraId="48A0D307"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Lu-DOTATATE</w:t>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CC7F12"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Lu, Lutetium</w:t>
            </w:r>
          </w:p>
        </w:tc>
        <w:tc>
          <w:tcPr>
            <w:tcW w:w="1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33B2FA"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Boolean: OR</w:t>
            </w:r>
          </w:p>
        </w:tc>
        <w:tc>
          <w:tcPr>
            <w:tcW w:w="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65E7B4"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772</w:t>
            </w:r>
          </w:p>
        </w:tc>
      </w:tr>
      <w:tr w:rsidR="00016A6E" w:rsidRPr="006868B4" w14:paraId="7C36D2A7" w14:textId="77777777" w:rsidTr="005F54BD">
        <w:tc>
          <w:tcPr>
            <w:tcW w:w="32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757A3A"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#3 </w:t>
            </w:r>
          </w:p>
          <w:p w14:paraId="74DEE599"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Efficacy</w:t>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1B1951"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Effectiveness, Success, Benefit, Advantage</w:t>
            </w:r>
          </w:p>
        </w:tc>
        <w:tc>
          <w:tcPr>
            <w:tcW w:w="1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A70047"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Boolean: OR</w:t>
            </w:r>
          </w:p>
        </w:tc>
        <w:tc>
          <w:tcPr>
            <w:tcW w:w="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C2AB6A"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1490287</w:t>
            </w:r>
          </w:p>
        </w:tc>
      </w:tr>
      <w:tr w:rsidR="00016A6E" w:rsidRPr="006868B4" w14:paraId="087E60C3" w14:textId="77777777" w:rsidTr="005F54BD">
        <w:tc>
          <w:tcPr>
            <w:tcW w:w="32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3C4601"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#4</w:t>
            </w:r>
          </w:p>
          <w:p w14:paraId="49567F96"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Survival</w:t>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697490"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Mortality</w:t>
            </w:r>
          </w:p>
        </w:tc>
        <w:tc>
          <w:tcPr>
            <w:tcW w:w="1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A96E55"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Boolean: OR</w:t>
            </w:r>
          </w:p>
        </w:tc>
        <w:tc>
          <w:tcPr>
            <w:tcW w:w="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FAB1A9"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1522836</w:t>
            </w:r>
          </w:p>
        </w:tc>
      </w:tr>
      <w:tr w:rsidR="00016A6E" w:rsidRPr="006868B4" w14:paraId="2066D3CB" w14:textId="77777777" w:rsidTr="005F54BD">
        <w:tc>
          <w:tcPr>
            <w:tcW w:w="32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52CD70"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#5</w:t>
            </w:r>
          </w:p>
          <w:p w14:paraId="4AA02F28"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Tumour Progression</w:t>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3DF9E7"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Tumour Growth</w:t>
            </w:r>
          </w:p>
        </w:tc>
        <w:tc>
          <w:tcPr>
            <w:tcW w:w="1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A91419"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Boolean: OR</w:t>
            </w:r>
          </w:p>
        </w:tc>
        <w:tc>
          <w:tcPr>
            <w:tcW w:w="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74BC41"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15001</w:t>
            </w:r>
          </w:p>
        </w:tc>
      </w:tr>
      <w:tr w:rsidR="00016A6E" w:rsidRPr="006868B4" w14:paraId="5D0117F3" w14:textId="77777777" w:rsidTr="005F54BD">
        <w:tc>
          <w:tcPr>
            <w:tcW w:w="32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D7E5D8"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Search 1 </w:t>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9953CE"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#1, #2, #4</w:t>
            </w:r>
          </w:p>
        </w:tc>
        <w:tc>
          <w:tcPr>
            <w:tcW w:w="1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30D27E"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Boolean: AND</w:t>
            </w:r>
          </w:p>
        </w:tc>
        <w:tc>
          <w:tcPr>
            <w:tcW w:w="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07D849"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113</w:t>
            </w:r>
          </w:p>
        </w:tc>
      </w:tr>
      <w:tr w:rsidR="00016A6E" w:rsidRPr="006868B4" w14:paraId="48B20721" w14:textId="77777777" w:rsidTr="005F54BD">
        <w:tc>
          <w:tcPr>
            <w:tcW w:w="32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009E4C"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Search 2</w:t>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C574FE"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#1, #2, #5</w:t>
            </w:r>
          </w:p>
        </w:tc>
        <w:tc>
          <w:tcPr>
            <w:tcW w:w="1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2614A1"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Boolean: AND</w:t>
            </w:r>
          </w:p>
        </w:tc>
        <w:tc>
          <w:tcPr>
            <w:tcW w:w="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F254F6"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22</w:t>
            </w:r>
          </w:p>
        </w:tc>
      </w:tr>
      <w:tr w:rsidR="00016A6E" w:rsidRPr="006868B4" w14:paraId="1608A53D" w14:textId="77777777" w:rsidTr="005F54BD">
        <w:tc>
          <w:tcPr>
            <w:tcW w:w="32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C86BCF" w14:textId="77777777" w:rsidR="00016A6E" w:rsidRPr="006868B4" w:rsidRDefault="00016A6E" w:rsidP="005F54BD">
            <w:pPr>
              <w:tabs>
                <w:tab w:val="center" w:pos="1568"/>
              </w:tabs>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Search 3</w:t>
            </w:r>
            <w:r w:rsidRPr="006868B4">
              <w:rPr>
                <w:rFonts w:asciiTheme="minorHAnsi" w:hAnsiTheme="minorHAnsi" w:cstheme="minorHAnsi"/>
                <w:color w:val="000000" w:themeColor="text1"/>
                <w:sz w:val="20"/>
                <w:szCs w:val="20"/>
              </w:rPr>
              <w:tab/>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DCC77A"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#1, #2, #3, #4, #5</w:t>
            </w:r>
          </w:p>
        </w:tc>
        <w:tc>
          <w:tcPr>
            <w:tcW w:w="1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DD8715"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Boolean: AND</w:t>
            </w:r>
          </w:p>
        </w:tc>
        <w:tc>
          <w:tcPr>
            <w:tcW w:w="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9422D1"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21</w:t>
            </w:r>
          </w:p>
        </w:tc>
      </w:tr>
    </w:tbl>
    <w:p w14:paraId="64B7CB8E" w14:textId="77777777" w:rsidR="00016A6E" w:rsidRPr="006868B4" w:rsidRDefault="00016A6E" w:rsidP="00016A6E">
      <w:pPr>
        <w:rPr>
          <w:rFonts w:asciiTheme="minorHAnsi" w:hAnsiTheme="minorHAnsi" w:cstheme="minorHAnsi"/>
          <w:color w:val="000000" w:themeColor="text1"/>
        </w:rPr>
      </w:pPr>
    </w:p>
    <w:p w14:paraId="657CB6B1" w14:textId="77777777" w:rsidR="00016A6E" w:rsidRPr="00527E4E" w:rsidRDefault="00016A6E" w:rsidP="00016A6E">
      <w:pPr>
        <w:spacing w:line="276" w:lineRule="auto"/>
        <w:rPr>
          <w:rFonts w:asciiTheme="minorHAnsi" w:hAnsiTheme="minorHAnsi" w:cstheme="minorHAnsi"/>
          <w:i/>
          <w:iCs/>
          <w:color w:val="000000" w:themeColor="text1"/>
          <w:sz w:val="20"/>
          <w:szCs w:val="20"/>
        </w:rPr>
      </w:pPr>
      <w:r w:rsidRPr="00527E4E">
        <w:rPr>
          <w:rFonts w:asciiTheme="minorHAnsi" w:hAnsiTheme="minorHAnsi" w:cstheme="minorHAnsi"/>
          <w:i/>
          <w:iCs/>
          <w:color w:val="000000" w:themeColor="text1"/>
          <w:sz w:val="20"/>
          <w:szCs w:val="20"/>
        </w:rPr>
        <w:t xml:space="preserve">Table 4: Eligibility criteria </w:t>
      </w:r>
    </w:p>
    <w:tbl>
      <w:tblPr>
        <w:tblW w:w="920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08"/>
        <w:gridCol w:w="4252"/>
        <w:gridCol w:w="3544"/>
      </w:tblGrid>
      <w:tr w:rsidR="00016A6E" w:rsidRPr="006868B4" w14:paraId="2FD427A6" w14:textId="77777777" w:rsidTr="00C5391B">
        <w:tc>
          <w:tcPr>
            <w:tcW w:w="1408" w:type="dxa"/>
            <w:tcBorders>
              <w:top w:val="single" w:sz="8" w:space="0" w:color="A3A3A3"/>
              <w:left w:val="nil"/>
              <w:bottom w:val="single" w:sz="8" w:space="0" w:color="A3A3A3"/>
              <w:right w:val="nil"/>
            </w:tcBorders>
            <w:shd w:val="clear" w:color="auto" w:fill="B4C6E7" w:themeFill="accent1" w:themeFillTint="66"/>
            <w:tcMar>
              <w:top w:w="80" w:type="dxa"/>
              <w:left w:w="80" w:type="dxa"/>
              <w:bottom w:w="80" w:type="dxa"/>
              <w:right w:w="80" w:type="dxa"/>
            </w:tcMar>
            <w:hideMark/>
          </w:tcPr>
          <w:p w14:paraId="7C798029" w14:textId="77777777" w:rsidR="00016A6E" w:rsidRPr="00EB5652" w:rsidRDefault="00016A6E" w:rsidP="005F54BD">
            <w:pPr>
              <w:rPr>
                <w:rFonts w:asciiTheme="minorHAnsi" w:hAnsiTheme="minorHAnsi" w:cstheme="minorHAnsi"/>
                <w:color w:val="000000" w:themeColor="text1"/>
                <w:sz w:val="22"/>
                <w:szCs w:val="22"/>
              </w:rPr>
            </w:pPr>
            <w:r w:rsidRPr="00EB5652">
              <w:rPr>
                <w:rFonts w:asciiTheme="minorHAnsi" w:hAnsiTheme="minorHAnsi" w:cstheme="minorHAnsi"/>
                <w:color w:val="000000" w:themeColor="text1"/>
                <w:sz w:val="22"/>
                <w:szCs w:val="22"/>
              </w:rPr>
              <w:t>PICO</w:t>
            </w:r>
          </w:p>
        </w:tc>
        <w:tc>
          <w:tcPr>
            <w:tcW w:w="4252" w:type="dxa"/>
            <w:tcBorders>
              <w:top w:val="single" w:sz="8" w:space="0" w:color="A3A3A3"/>
              <w:left w:val="nil"/>
              <w:bottom w:val="single" w:sz="8" w:space="0" w:color="A3A3A3"/>
              <w:right w:val="nil"/>
            </w:tcBorders>
            <w:shd w:val="clear" w:color="auto" w:fill="B4C6E7" w:themeFill="accent1" w:themeFillTint="66"/>
            <w:tcMar>
              <w:top w:w="80" w:type="dxa"/>
              <w:left w:w="80" w:type="dxa"/>
              <w:bottom w:w="80" w:type="dxa"/>
              <w:right w:w="80" w:type="dxa"/>
            </w:tcMar>
            <w:hideMark/>
          </w:tcPr>
          <w:p w14:paraId="5C369942" w14:textId="77777777" w:rsidR="00016A6E" w:rsidRPr="00EB5652" w:rsidRDefault="00016A6E" w:rsidP="005F54BD">
            <w:pPr>
              <w:rPr>
                <w:rFonts w:asciiTheme="minorHAnsi" w:hAnsiTheme="minorHAnsi" w:cstheme="minorHAnsi"/>
                <w:color w:val="000000" w:themeColor="text1"/>
                <w:sz w:val="22"/>
                <w:szCs w:val="22"/>
              </w:rPr>
            </w:pPr>
            <w:r w:rsidRPr="00EB5652">
              <w:rPr>
                <w:rFonts w:asciiTheme="minorHAnsi" w:hAnsiTheme="minorHAnsi" w:cstheme="minorHAnsi"/>
                <w:color w:val="000000" w:themeColor="text1"/>
                <w:sz w:val="22"/>
                <w:szCs w:val="22"/>
              </w:rPr>
              <w:t xml:space="preserve">Inclusion criteria </w:t>
            </w:r>
          </w:p>
        </w:tc>
        <w:tc>
          <w:tcPr>
            <w:tcW w:w="3544" w:type="dxa"/>
            <w:tcBorders>
              <w:top w:val="single" w:sz="8" w:space="0" w:color="A3A3A3"/>
              <w:left w:val="nil"/>
              <w:bottom w:val="single" w:sz="8" w:space="0" w:color="A3A3A3"/>
              <w:right w:val="single" w:sz="8" w:space="0" w:color="A3A3A3"/>
            </w:tcBorders>
            <w:shd w:val="clear" w:color="auto" w:fill="B4C6E7" w:themeFill="accent1" w:themeFillTint="66"/>
            <w:tcMar>
              <w:top w:w="80" w:type="dxa"/>
              <w:left w:w="80" w:type="dxa"/>
              <w:bottom w:w="80" w:type="dxa"/>
              <w:right w:w="80" w:type="dxa"/>
            </w:tcMar>
            <w:hideMark/>
          </w:tcPr>
          <w:p w14:paraId="35A25643" w14:textId="77777777" w:rsidR="00016A6E" w:rsidRPr="00EB5652" w:rsidRDefault="00016A6E" w:rsidP="005F54BD">
            <w:pPr>
              <w:rPr>
                <w:rFonts w:asciiTheme="minorHAnsi" w:hAnsiTheme="minorHAnsi" w:cstheme="minorHAnsi"/>
                <w:color w:val="000000" w:themeColor="text1"/>
                <w:sz w:val="22"/>
                <w:szCs w:val="22"/>
              </w:rPr>
            </w:pPr>
            <w:r w:rsidRPr="00EB5652">
              <w:rPr>
                <w:rFonts w:asciiTheme="minorHAnsi" w:hAnsiTheme="minorHAnsi" w:cstheme="minorHAnsi"/>
                <w:color w:val="000000" w:themeColor="text1"/>
                <w:sz w:val="22"/>
                <w:szCs w:val="22"/>
              </w:rPr>
              <w:t xml:space="preserve">Exclusion criteria </w:t>
            </w:r>
          </w:p>
        </w:tc>
      </w:tr>
      <w:tr w:rsidR="00016A6E" w:rsidRPr="006868B4" w14:paraId="054F2428" w14:textId="77777777" w:rsidTr="00C5391B">
        <w:tc>
          <w:tcPr>
            <w:tcW w:w="1408" w:type="dxa"/>
            <w:tcBorders>
              <w:top w:val="single" w:sz="8" w:space="0" w:color="A3A3A3"/>
              <w:left w:val="nil"/>
              <w:bottom w:val="single" w:sz="8" w:space="0" w:color="A3A3A3"/>
              <w:right w:val="nil"/>
            </w:tcBorders>
            <w:shd w:val="clear" w:color="auto" w:fill="B4C6E7" w:themeFill="accent1" w:themeFillTint="66"/>
            <w:tcMar>
              <w:top w:w="80" w:type="dxa"/>
              <w:left w:w="80" w:type="dxa"/>
              <w:bottom w:w="80" w:type="dxa"/>
              <w:right w:w="80" w:type="dxa"/>
            </w:tcMar>
            <w:hideMark/>
          </w:tcPr>
          <w:p w14:paraId="7901E6F0" w14:textId="77777777" w:rsidR="00016A6E" w:rsidRPr="00EB5652" w:rsidRDefault="00016A6E" w:rsidP="005F54BD">
            <w:pPr>
              <w:rPr>
                <w:rFonts w:asciiTheme="minorHAnsi" w:hAnsiTheme="minorHAnsi" w:cstheme="minorHAnsi"/>
                <w:color w:val="000000" w:themeColor="text1"/>
                <w:sz w:val="22"/>
                <w:szCs w:val="22"/>
              </w:rPr>
            </w:pPr>
            <w:r w:rsidRPr="00EB5652">
              <w:rPr>
                <w:rFonts w:asciiTheme="minorHAnsi" w:hAnsiTheme="minorHAnsi" w:cstheme="minorHAnsi"/>
                <w:color w:val="000000" w:themeColor="text1"/>
                <w:sz w:val="22"/>
                <w:szCs w:val="22"/>
              </w:rPr>
              <w:t>Population</w:t>
            </w:r>
          </w:p>
        </w:tc>
        <w:tc>
          <w:tcPr>
            <w:tcW w:w="4252" w:type="dxa"/>
            <w:tcBorders>
              <w:top w:val="single" w:sz="8" w:space="0" w:color="A3A3A3"/>
              <w:left w:val="nil"/>
              <w:bottom w:val="single" w:sz="8" w:space="0" w:color="A3A3A3"/>
              <w:right w:val="nil"/>
            </w:tcBorders>
            <w:tcMar>
              <w:top w:w="80" w:type="dxa"/>
              <w:left w:w="80" w:type="dxa"/>
              <w:bottom w:w="80" w:type="dxa"/>
              <w:right w:w="80" w:type="dxa"/>
            </w:tcMar>
            <w:hideMark/>
          </w:tcPr>
          <w:p w14:paraId="59058B02" w14:textId="77777777" w:rsidR="00016A6E" w:rsidRPr="00C43F52" w:rsidRDefault="00016A6E" w:rsidP="005F54BD">
            <w:pPr>
              <w:pStyle w:val="ListParagraph"/>
              <w:numPr>
                <w:ilvl w:val="0"/>
                <w:numId w:val="12"/>
              </w:numPr>
              <w:textAlignment w:val="center"/>
              <w:rPr>
                <w:rFonts w:eastAsia="Times New Roman" w:cstheme="minorHAnsi"/>
                <w:color w:val="000000" w:themeColor="text1"/>
                <w:sz w:val="22"/>
                <w:szCs w:val="22"/>
                <w:lang w:eastAsia="en-GB"/>
              </w:rPr>
            </w:pPr>
            <w:r w:rsidRPr="00C43F52">
              <w:rPr>
                <w:rFonts w:eastAsia="Times New Roman" w:cstheme="minorHAnsi"/>
                <w:color w:val="000000" w:themeColor="text1"/>
                <w:sz w:val="22"/>
                <w:szCs w:val="22"/>
                <w:lang w:eastAsia="en-GB"/>
              </w:rPr>
              <w:t>Patients diagnosed with primary neuroendocrine tumours</w:t>
            </w:r>
          </w:p>
          <w:p w14:paraId="44B2B573" w14:textId="77777777" w:rsidR="00016A6E" w:rsidRPr="00C43F52" w:rsidRDefault="00016A6E" w:rsidP="005F54BD">
            <w:pPr>
              <w:pStyle w:val="ListParagraph"/>
              <w:numPr>
                <w:ilvl w:val="0"/>
                <w:numId w:val="12"/>
              </w:numPr>
              <w:textAlignment w:val="center"/>
              <w:rPr>
                <w:rFonts w:eastAsia="Times New Roman" w:cstheme="minorHAnsi"/>
                <w:color w:val="000000" w:themeColor="text1"/>
                <w:sz w:val="22"/>
                <w:szCs w:val="22"/>
                <w:lang w:eastAsia="en-GB"/>
              </w:rPr>
            </w:pPr>
            <w:r w:rsidRPr="00C43F52">
              <w:rPr>
                <w:rFonts w:eastAsia="Times New Roman" w:cstheme="minorHAnsi"/>
                <w:color w:val="000000" w:themeColor="text1"/>
                <w:sz w:val="22"/>
                <w:szCs w:val="22"/>
                <w:lang w:eastAsia="en-GB"/>
              </w:rPr>
              <w:t>Aged 18+ years</w:t>
            </w:r>
          </w:p>
          <w:p w14:paraId="16E7E1EF" w14:textId="77777777" w:rsidR="00016A6E" w:rsidRPr="00C43F52" w:rsidRDefault="00016A6E" w:rsidP="005F54BD">
            <w:pPr>
              <w:pStyle w:val="ListParagraph"/>
              <w:numPr>
                <w:ilvl w:val="0"/>
                <w:numId w:val="12"/>
              </w:numPr>
              <w:textAlignment w:val="center"/>
              <w:rPr>
                <w:rFonts w:eastAsia="Times New Roman" w:cstheme="minorHAnsi"/>
                <w:color w:val="000000" w:themeColor="text1"/>
                <w:sz w:val="22"/>
                <w:szCs w:val="22"/>
                <w:lang w:eastAsia="en-GB"/>
              </w:rPr>
            </w:pPr>
            <w:r w:rsidRPr="00C43F52">
              <w:rPr>
                <w:rFonts w:eastAsia="Times New Roman" w:cstheme="minorHAnsi"/>
                <w:color w:val="000000" w:themeColor="text1"/>
                <w:sz w:val="22"/>
                <w:szCs w:val="22"/>
                <w:lang w:eastAsia="en-GB"/>
              </w:rPr>
              <w:t xml:space="preserve">Mean/median age less than 70 years </w:t>
            </w:r>
          </w:p>
        </w:tc>
        <w:tc>
          <w:tcPr>
            <w:tcW w:w="3544"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58D3498A" w14:textId="77777777" w:rsidR="00016A6E" w:rsidRPr="00C43F52" w:rsidRDefault="00016A6E" w:rsidP="005F54BD">
            <w:pPr>
              <w:pStyle w:val="ListParagraph"/>
              <w:numPr>
                <w:ilvl w:val="0"/>
                <w:numId w:val="12"/>
              </w:numPr>
              <w:textAlignment w:val="center"/>
              <w:rPr>
                <w:rFonts w:cstheme="minorHAnsi"/>
                <w:color w:val="000000" w:themeColor="text1"/>
                <w:sz w:val="22"/>
                <w:szCs w:val="22"/>
              </w:rPr>
            </w:pPr>
            <w:r w:rsidRPr="00C43F52">
              <w:rPr>
                <w:rFonts w:cstheme="minorHAnsi"/>
                <w:color w:val="000000" w:themeColor="text1"/>
                <w:sz w:val="22"/>
                <w:szCs w:val="22"/>
              </w:rPr>
              <w:t>Malignancies other than NETs</w:t>
            </w:r>
          </w:p>
          <w:p w14:paraId="3CB92A6B" w14:textId="77777777" w:rsidR="00016A6E" w:rsidRPr="00C43F52" w:rsidRDefault="00016A6E" w:rsidP="005F54BD">
            <w:pPr>
              <w:pStyle w:val="ListParagraph"/>
              <w:numPr>
                <w:ilvl w:val="0"/>
                <w:numId w:val="12"/>
              </w:numPr>
              <w:textAlignment w:val="center"/>
              <w:rPr>
                <w:rFonts w:cstheme="minorHAnsi"/>
                <w:color w:val="000000" w:themeColor="text1"/>
                <w:sz w:val="22"/>
                <w:szCs w:val="22"/>
              </w:rPr>
            </w:pPr>
            <w:r w:rsidRPr="00C43F52">
              <w:rPr>
                <w:rFonts w:cstheme="minorHAnsi"/>
                <w:color w:val="000000" w:themeColor="text1"/>
                <w:sz w:val="22"/>
                <w:szCs w:val="22"/>
              </w:rPr>
              <w:t xml:space="preserve">Treating secondary sites due to metastatic spread </w:t>
            </w:r>
          </w:p>
          <w:p w14:paraId="269D2B4E" w14:textId="77777777" w:rsidR="00016A6E" w:rsidRPr="00C43F52" w:rsidRDefault="00016A6E" w:rsidP="005F54BD">
            <w:pPr>
              <w:pStyle w:val="ListParagraph"/>
              <w:numPr>
                <w:ilvl w:val="0"/>
                <w:numId w:val="12"/>
              </w:numPr>
              <w:textAlignment w:val="center"/>
              <w:rPr>
                <w:rFonts w:cstheme="minorHAnsi"/>
                <w:color w:val="000000" w:themeColor="text1"/>
                <w:sz w:val="22"/>
                <w:szCs w:val="22"/>
              </w:rPr>
            </w:pPr>
            <w:r w:rsidRPr="00C43F52">
              <w:rPr>
                <w:rFonts w:cstheme="minorHAnsi"/>
                <w:color w:val="000000" w:themeColor="text1"/>
                <w:sz w:val="22"/>
                <w:szCs w:val="22"/>
              </w:rPr>
              <w:t xml:space="preserve">&lt; 18 years </w:t>
            </w:r>
          </w:p>
          <w:p w14:paraId="76932068" w14:textId="77777777" w:rsidR="00016A6E" w:rsidRPr="00C43F52" w:rsidRDefault="00016A6E" w:rsidP="005F54BD">
            <w:pPr>
              <w:pStyle w:val="ListParagraph"/>
              <w:numPr>
                <w:ilvl w:val="0"/>
                <w:numId w:val="12"/>
              </w:numPr>
              <w:textAlignment w:val="center"/>
              <w:rPr>
                <w:rFonts w:cstheme="minorHAnsi"/>
                <w:color w:val="000000" w:themeColor="text1"/>
                <w:sz w:val="22"/>
                <w:szCs w:val="22"/>
              </w:rPr>
            </w:pPr>
            <w:r w:rsidRPr="00C43F52">
              <w:rPr>
                <w:rFonts w:cstheme="minorHAnsi"/>
                <w:color w:val="000000" w:themeColor="text1"/>
                <w:sz w:val="22"/>
                <w:szCs w:val="22"/>
              </w:rPr>
              <w:t xml:space="preserve">Animal based studies </w:t>
            </w:r>
          </w:p>
        </w:tc>
      </w:tr>
      <w:tr w:rsidR="00016A6E" w:rsidRPr="006868B4" w14:paraId="43796BBE" w14:textId="77777777" w:rsidTr="00C5391B">
        <w:tc>
          <w:tcPr>
            <w:tcW w:w="1408" w:type="dxa"/>
            <w:tcBorders>
              <w:top w:val="single" w:sz="8" w:space="0" w:color="A3A3A3"/>
              <w:left w:val="nil"/>
              <w:bottom w:val="single" w:sz="8" w:space="0" w:color="A3A3A3"/>
              <w:right w:val="nil"/>
            </w:tcBorders>
            <w:shd w:val="clear" w:color="auto" w:fill="B4C6E7" w:themeFill="accent1" w:themeFillTint="66"/>
            <w:tcMar>
              <w:top w:w="80" w:type="dxa"/>
              <w:left w:w="80" w:type="dxa"/>
              <w:bottom w:w="80" w:type="dxa"/>
              <w:right w:w="80" w:type="dxa"/>
            </w:tcMar>
            <w:hideMark/>
          </w:tcPr>
          <w:p w14:paraId="482AB513" w14:textId="77777777" w:rsidR="00016A6E" w:rsidRPr="00EB5652" w:rsidRDefault="00016A6E" w:rsidP="005F54BD">
            <w:pPr>
              <w:rPr>
                <w:rFonts w:asciiTheme="minorHAnsi" w:hAnsiTheme="minorHAnsi" w:cstheme="minorHAnsi"/>
                <w:color w:val="000000" w:themeColor="text1"/>
                <w:sz w:val="22"/>
                <w:szCs w:val="22"/>
              </w:rPr>
            </w:pPr>
            <w:r w:rsidRPr="00EB5652">
              <w:rPr>
                <w:rFonts w:asciiTheme="minorHAnsi" w:hAnsiTheme="minorHAnsi" w:cstheme="minorHAnsi"/>
                <w:color w:val="000000" w:themeColor="text1"/>
                <w:sz w:val="22"/>
                <w:szCs w:val="22"/>
              </w:rPr>
              <w:lastRenderedPageBreak/>
              <w:t>Intervention</w:t>
            </w:r>
          </w:p>
        </w:tc>
        <w:tc>
          <w:tcPr>
            <w:tcW w:w="4252" w:type="dxa"/>
            <w:tcBorders>
              <w:top w:val="single" w:sz="8" w:space="0" w:color="A3A3A3"/>
              <w:left w:val="nil"/>
              <w:bottom w:val="single" w:sz="8" w:space="0" w:color="A3A3A3"/>
              <w:right w:val="nil"/>
            </w:tcBorders>
            <w:tcMar>
              <w:top w:w="80" w:type="dxa"/>
              <w:left w:w="80" w:type="dxa"/>
              <w:bottom w:w="80" w:type="dxa"/>
              <w:right w:w="80" w:type="dxa"/>
            </w:tcMar>
            <w:hideMark/>
          </w:tcPr>
          <w:p w14:paraId="297169A1" w14:textId="77777777" w:rsidR="00016A6E" w:rsidRPr="00C43F52" w:rsidRDefault="00016A6E" w:rsidP="005F54BD">
            <w:pPr>
              <w:pStyle w:val="ListParagraph"/>
              <w:numPr>
                <w:ilvl w:val="0"/>
                <w:numId w:val="12"/>
              </w:numPr>
              <w:textAlignment w:val="center"/>
              <w:rPr>
                <w:rFonts w:eastAsia="Times New Roman" w:cstheme="minorHAnsi"/>
                <w:color w:val="000000" w:themeColor="text1"/>
                <w:sz w:val="22"/>
                <w:szCs w:val="22"/>
                <w:lang w:eastAsia="en-GB"/>
              </w:rPr>
            </w:pPr>
            <w:r w:rsidRPr="00C43F52">
              <w:rPr>
                <w:rFonts w:cstheme="minorHAnsi"/>
                <w:color w:val="000000" w:themeColor="text1"/>
                <w:sz w:val="22"/>
                <w:szCs w:val="22"/>
                <w:vertAlign w:val="superscript"/>
              </w:rPr>
              <w:t>177</w:t>
            </w:r>
            <w:r w:rsidRPr="00C43F52">
              <w:rPr>
                <w:rFonts w:cstheme="minorHAnsi"/>
                <w:color w:val="000000" w:themeColor="text1"/>
                <w:sz w:val="22"/>
                <w:szCs w:val="22"/>
              </w:rPr>
              <w:t>Lu-DOTATATE</w:t>
            </w:r>
            <w:r w:rsidRPr="00C43F52">
              <w:rPr>
                <w:rFonts w:eastAsia="Times New Roman" w:cstheme="minorHAnsi"/>
                <w:color w:val="000000" w:themeColor="text1"/>
                <w:sz w:val="22"/>
                <w:szCs w:val="22"/>
                <w:lang w:eastAsia="en-GB"/>
              </w:rPr>
              <w:t xml:space="preserve"> alone or in combination as the experimental treatment </w:t>
            </w:r>
          </w:p>
          <w:p w14:paraId="7EEE0327" w14:textId="77777777" w:rsidR="00016A6E" w:rsidRPr="00C43F52" w:rsidRDefault="00016A6E" w:rsidP="005F54BD">
            <w:pPr>
              <w:textAlignment w:val="center"/>
              <w:rPr>
                <w:rFonts w:cstheme="minorHAnsi"/>
                <w:color w:val="000000" w:themeColor="text1"/>
                <w:sz w:val="22"/>
                <w:szCs w:val="22"/>
              </w:rPr>
            </w:pPr>
          </w:p>
        </w:tc>
        <w:tc>
          <w:tcPr>
            <w:tcW w:w="3544" w:type="dxa"/>
            <w:tcBorders>
              <w:top w:val="single" w:sz="8" w:space="0" w:color="A3A3A3"/>
              <w:left w:val="nil"/>
              <w:bottom w:val="single" w:sz="8" w:space="0" w:color="A3A3A3"/>
              <w:right w:val="nil"/>
            </w:tcBorders>
            <w:tcMar>
              <w:top w:w="80" w:type="dxa"/>
              <w:left w:w="80" w:type="dxa"/>
              <w:bottom w:w="80" w:type="dxa"/>
              <w:right w:w="80" w:type="dxa"/>
            </w:tcMar>
            <w:hideMark/>
          </w:tcPr>
          <w:p w14:paraId="0BFBDBD1" w14:textId="77777777" w:rsidR="00016A6E" w:rsidRPr="00C43F52" w:rsidRDefault="00016A6E" w:rsidP="005F54BD">
            <w:pPr>
              <w:pStyle w:val="ListParagraph"/>
              <w:numPr>
                <w:ilvl w:val="0"/>
                <w:numId w:val="12"/>
              </w:numPr>
              <w:rPr>
                <w:rFonts w:cstheme="minorHAnsi"/>
                <w:color w:val="000000" w:themeColor="text1"/>
                <w:sz w:val="22"/>
                <w:szCs w:val="22"/>
              </w:rPr>
            </w:pPr>
            <w:r w:rsidRPr="00C43F52">
              <w:rPr>
                <w:rFonts w:cstheme="minorHAnsi"/>
                <w:color w:val="000000" w:themeColor="text1"/>
                <w:sz w:val="22"/>
                <w:szCs w:val="22"/>
              </w:rPr>
              <w:t xml:space="preserve">Intervention that does not include </w:t>
            </w:r>
            <w:r w:rsidRPr="00C43F52">
              <w:rPr>
                <w:rFonts w:cstheme="minorHAnsi"/>
                <w:color w:val="000000" w:themeColor="text1"/>
                <w:sz w:val="22"/>
                <w:szCs w:val="22"/>
                <w:vertAlign w:val="superscript"/>
              </w:rPr>
              <w:t>177</w:t>
            </w:r>
            <w:r w:rsidRPr="00C43F52">
              <w:rPr>
                <w:rFonts w:cstheme="minorHAnsi"/>
                <w:color w:val="000000" w:themeColor="text1"/>
                <w:sz w:val="22"/>
                <w:szCs w:val="22"/>
              </w:rPr>
              <w:t>Lu-DOTATATE</w:t>
            </w:r>
          </w:p>
          <w:p w14:paraId="582CA316" w14:textId="77777777" w:rsidR="00016A6E" w:rsidRPr="00C43F52" w:rsidRDefault="00016A6E" w:rsidP="005F54BD">
            <w:pPr>
              <w:pStyle w:val="ListParagraph"/>
              <w:numPr>
                <w:ilvl w:val="0"/>
                <w:numId w:val="12"/>
              </w:numPr>
              <w:rPr>
                <w:rFonts w:cstheme="minorHAnsi"/>
                <w:color w:val="000000" w:themeColor="text1"/>
                <w:sz w:val="22"/>
                <w:szCs w:val="22"/>
              </w:rPr>
            </w:pPr>
            <w:r w:rsidRPr="00C43F52">
              <w:rPr>
                <w:rFonts w:cstheme="minorHAnsi"/>
                <w:color w:val="000000" w:themeColor="text1"/>
                <w:sz w:val="22"/>
                <w:szCs w:val="22"/>
              </w:rPr>
              <w:t xml:space="preserve">Neoadjuvant therapy </w:t>
            </w:r>
          </w:p>
        </w:tc>
      </w:tr>
      <w:tr w:rsidR="00016A6E" w:rsidRPr="006868B4" w14:paraId="01E487CA" w14:textId="77777777" w:rsidTr="00C5391B">
        <w:tc>
          <w:tcPr>
            <w:tcW w:w="1408" w:type="dxa"/>
            <w:tcBorders>
              <w:top w:val="single" w:sz="8" w:space="0" w:color="A3A3A3"/>
              <w:left w:val="nil"/>
              <w:bottom w:val="single" w:sz="8" w:space="0" w:color="A3A3A3"/>
              <w:right w:val="nil"/>
            </w:tcBorders>
            <w:shd w:val="clear" w:color="auto" w:fill="B4C6E7" w:themeFill="accent1" w:themeFillTint="66"/>
            <w:tcMar>
              <w:top w:w="80" w:type="dxa"/>
              <w:left w:w="80" w:type="dxa"/>
              <w:bottom w:w="80" w:type="dxa"/>
              <w:right w:w="80" w:type="dxa"/>
            </w:tcMar>
            <w:hideMark/>
          </w:tcPr>
          <w:p w14:paraId="24272F51" w14:textId="77777777" w:rsidR="00016A6E" w:rsidRPr="00EB5652" w:rsidRDefault="00016A6E" w:rsidP="005F54BD">
            <w:pPr>
              <w:rPr>
                <w:rFonts w:asciiTheme="minorHAnsi" w:hAnsiTheme="minorHAnsi" w:cstheme="minorHAnsi"/>
                <w:color w:val="000000" w:themeColor="text1"/>
                <w:sz w:val="22"/>
                <w:szCs w:val="22"/>
              </w:rPr>
            </w:pPr>
            <w:r w:rsidRPr="00EB5652">
              <w:rPr>
                <w:rFonts w:asciiTheme="minorHAnsi" w:hAnsiTheme="minorHAnsi" w:cstheme="minorHAnsi"/>
                <w:color w:val="000000" w:themeColor="text1"/>
                <w:sz w:val="22"/>
                <w:szCs w:val="22"/>
              </w:rPr>
              <w:t>Comparison</w:t>
            </w:r>
          </w:p>
        </w:tc>
        <w:tc>
          <w:tcPr>
            <w:tcW w:w="4252" w:type="dxa"/>
            <w:tcBorders>
              <w:top w:val="single" w:sz="8" w:space="0" w:color="A3A3A3"/>
              <w:left w:val="nil"/>
              <w:bottom w:val="single" w:sz="8" w:space="0" w:color="A3A3A3"/>
              <w:right w:val="nil"/>
            </w:tcBorders>
            <w:tcMar>
              <w:top w:w="80" w:type="dxa"/>
              <w:left w:w="80" w:type="dxa"/>
              <w:bottom w:w="80" w:type="dxa"/>
              <w:right w:w="80" w:type="dxa"/>
            </w:tcMar>
            <w:hideMark/>
          </w:tcPr>
          <w:p w14:paraId="0E4F015C" w14:textId="77777777" w:rsidR="00016A6E" w:rsidRPr="00C43F52" w:rsidRDefault="00016A6E" w:rsidP="005F54BD">
            <w:pPr>
              <w:pStyle w:val="ListParagraph"/>
              <w:numPr>
                <w:ilvl w:val="0"/>
                <w:numId w:val="12"/>
              </w:numPr>
              <w:textAlignment w:val="center"/>
              <w:rPr>
                <w:rFonts w:eastAsia="Times New Roman" w:cstheme="minorHAnsi"/>
                <w:color w:val="000000" w:themeColor="text1"/>
                <w:sz w:val="22"/>
                <w:szCs w:val="22"/>
                <w:lang w:eastAsia="en-GB"/>
              </w:rPr>
            </w:pPr>
            <w:r w:rsidRPr="00C43F52">
              <w:rPr>
                <w:rFonts w:eastAsia="Times New Roman" w:cstheme="minorHAnsi"/>
                <w:color w:val="000000" w:themeColor="text1"/>
                <w:sz w:val="22"/>
                <w:szCs w:val="22"/>
                <w:lang w:eastAsia="en-GB"/>
              </w:rPr>
              <w:t xml:space="preserve">Different NET subtypes </w:t>
            </w:r>
          </w:p>
          <w:p w14:paraId="07F3CC1D" w14:textId="77777777" w:rsidR="00016A6E" w:rsidRPr="00C43F52" w:rsidRDefault="00016A6E" w:rsidP="005F54BD">
            <w:pPr>
              <w:pStyle w:val="ListParagraph"/>
              <w:numPr>
                <w:ilvl w:val="0"/>
                <w:numId w:val="12"/>
              </w:numPr>
              <w:textAlignment w:val="center"/>
              <w:rPr>
                <w:rFonts w:eastAsia="Times New Roman" w:cstheme="minorHAnsi"/>
                <w:color w:val="000000" w:themeColor="text1"/>
                <w:sz w:val="22"/>
                <w:szCs w:val="22"/>
                <w:lang w:eastAsia="en-GB"/>
              </w:rPr>
            </w:pPr>
            <w:r w:rsidRPr="00C43F52">
              <w:rPr>
                <w:rFonts w:cstheme="minorHAnsi"/>
                <w:color w:val="000000" w:themeColor="text1"/>
                <w:sz w:val="22"/>
                <w:szCs w:val="22"/>
                <w:vertAlign w:val="superscript"/>
              </w:rPr>
              <w:t>177</w:t>
            </w:r>
            <w:r w:rsidRPr="00C43F52">
              <w:rPr>
                <w:rFonts w:cstheme="minorHAnsi"/>
                <w:color w:val="000000" w:themeColor="text1"/>
                <w:sz w:val="22"/>
                <w:szCs w:val="22"/>
              </w:rPr>
              <w:t xml:space="preserve">Lu-DOTATATE alone versus </w:t>
            </w:r>
            <w:r w:rsidRPr="00C43F52">
              <w:rPr>
                <w:rFonts w:cstheme="minorHAnsi"/>
                <w:color w:val="000000" w:themeColor="text1"/>
                <w:sz w:val="22"/>
                <w:szCs w:val="22"/>
                <w:vertAlign w:val="superscript"/>
              </w:rPr>
              <w:t>177</w:t>
            </w:r>
            <w:r w:rsidRPr="00C43F52">
              <w:rPr>
                <w:rFonts w:cstheme="minorHAnsi"/>
                <w:color w:val="000000" w:themeColor="text1"/>
                <w:sz w:val="22"/>
                <w:szCs w:val="22"/>
              </w:rPr>
              <w:t>Lu-DOTATATE in combinational therapy</w:t>
            </w:r>
          </w:p>
          <w:p w14:paraId="2EEA3606" w14:textId="77777777" w:rsidR="00016A6E" w:rsidRPr="00C43F52" w:rsidRDefault="00016A6E" w:rsidP="005F54BD">
            <w:pPr>
              <w:pStyle w:val="ListParagraph"/>
              <w:numPr>
                <w:ilvl w:val="0"/>
                <w:numId w:val="12"/>
              </w:numPr>
              <w:textAlignment w:val="center"/>
              <w:rPr>
                <w:rFonts w:eastAsia="Times New Roman" w:cstheme="minorHAnsi"/>
                <w:color w:val="000000" w:themeColor="text1"/>
                <w:sz w:val="22"/>
                <w:szCs w:val="22"/>
                <w:lang w:eastAsia="en-GB"/>
              </w:rPr>
            </w:pPr>
            <w:r w:rsidRPr="00C43F52">
              <w:rPr>
                <w:rFonts w:eastAsia="Times New Roman" w:cstheme="minorHAnsi"/>
                <w:color w:val="000000" w:themeColor="text1"/>
                <w:sz w:val="22"/>
                <w:szCs w:val="22"/>
                <w:lang w:eastAsia="en-GB"/>
              </w:rPr>
              <w:t xml:space="preserve">Control group treatment when available </w:t>
            </w:r>
          </w:p>
        </w:tc>
        <w:tc>
          <w:tcPr>
            <w:tcW w:w="3544" w:type="dxa"/>
            <w:tcBorders>
              <w:top w:val="single" w:sz="8" w:space="0" w:color="A3A3A3"/>
              <w:left w:val="nil"/>
              <w:bottom w:val="single" w:sz="8" w:space="0" w:color="A3A3A3"/>
              <w:right w:val="nil"/>
            </w:tcBorders>
            <w:tcMar>
              <w:top w:w="80" w:type="dxa"/>
              <w:left w:w="80" w:type="dxa"/>
              <w:bottom w:w="80" w:type="dxa"/>
              <w:right w:w="80" w:type="dxa"/>
            </w:tcMar>
            <w:hideMark/>
          </w:tcPr>
          <w:p w14:paraId="6A275493" w14:textId="77777777" w:rsidR="00016A6E" w:rsidRPr="00C43F52" w:rsidRDefault="00016A6E" w:rsidP="005F54BD">
            <w:pPr>
              <w:ind w:left="360"/>
              <w:textAlignment w:val="center"/>
              <w:rPr>
                <w:rFonts w:cstheme="minorHAnsi"/>
                <w:color w:val="000000" w:themeColor="text1"/>
                <w:sz w:val="22"/>
                <w:szCs w:val="22"/>
              </w:rPr>
            </w:pPr>
          </w:p>
        </w:tc>
      </w:tr>
      <w:tr w:rsidR="00016A6E" w:rsidRPr="006868B4" w14:paraId="04E2AFB6" w14:textId="77777777" w:rsidTr="00C5391B">
        <w:tc>
          <w:tcPr>
            <w:tcW w:w="1408" w:type="dxa"/>
            <w:tcBorders>
              <w:top w:val="single" w:sz="8" w:space="0" w:color="A3A3A3"/>
              <w:left w:val="nil"/>
              <w:bottom w:val="single" w:sz="8" w:space="0" w:color="A3A3A3"/>
              <w:right w:val="nil"/>
            </w:tcBorders>
            <w:shd w:val="clear" w:color="auto" w:fill="B4C6E7" w:themeFill="accent1" w:themeFillTint="66"/>
            <w:tcMar>
              <w:top w:w="80" w:type="dxa"/>
              <w:left w:w="80" w:type="dxa"/>
              <w:bottom w:w="80" w:type="dxa"/>
              <w:right w:w="80" w:type="dxa"/>
            </w:tcMar>
            <w:hideMark/>
          </w:tcPr>
          <w:p w14:paraId="3739F194" w14:textId="77777777" w:rsidR="00016A6E" w:rsidRPr="00EB5652" w:rsidRDefault="00016A6E" w:rsidP="005F54BD">
            <w:pPr>
              <w:rPr>
                <w:rFonts w:asciiTheme="minorHAnsi" w:hAnsiTheme="minorHAnsi" w:cstheme="minorHAnsi"/>
                <w:color w:val="000000" w:themeColor="text1"/>
                <w:sz w:val="22"/>
                <w:szCs w:val="22"/>
              </w:rPr>
            </w:pPr>
            <w:r w:rsidRPr="00EB5652">
              <w:rPr>
                <w:rFonts w:asciiTheme="minorHAnsi" w:hAnsiTheme="minorHAnsi" w:cstheme="minorHAnsi"/>
                <w:color w:val="000000" w:themeColor="text1"/>
                <w:sz w:val="22"/>
                <w:szCs w:val="22"/>
              </w:rPr>
              <w:t xml:space="preserve">Outcome </w:t>
            </w:r>
          </w:p>
        </w:tc>
        <w:tc>
          <w:tcPr>
            <w:tcW w:w="4252" w:type="dxa"/>
            <w:tcBorders>
              <w:top w:val="single" w:sz="8" w:space="0" w:color="A3A3A3"/>
              <w:left w:val="nil"/>
              <w:bottom w:val="single" w:sz="8" w:space="0" w:color="A3A3A3"/>
              <w:right w:val="nil"/>
            </w:tcBorders>
            <w:tcMar>
              <w:top w:w="80" w:type="dxa"/>
              <w:left w:w="80" w:type="dxa"/>
              <w:bottom w:w="80" w:type="dxa"/>
              <w:right w:w="80" w:type="dxa"/>
            </w:tcMar>
            <w:hideMark/>
          </w:tcPr>
          <w:p w14:paraId="44F58027" w14:textId="77777777" w:rsidR="00016A6E" w:rsidRPr="00C43F52" w:rsidRDefault="00016A6E" w:rsidP="005F54BD">
            <w:pPr>
              <w:pStyle w:val="ListParagraph"/>
              <w:numPr>
                <w:ilvl w:val="0"/>
                <w:numId w:val="12"/>
              </w:numPr>
              <w:textAlignment w:val="center"/>
              <w:rPr>
                <w:rFonts w:eastAsia="Times New Roman" w:cstheme="minorHAnsi"/>
                <w:color w:val="000000" w:themeColor="text1"/>
                <w:sz w:val="22"/>
                <w:szCs w:val="22"/>
                <w:lang w:eastAsia="en-GB"/>
              </w:rPr>
            </w:pPr>
            <w:r w:rsidRPr="00C43F52">
              <w:rPr>
                <w:rFonts w:eastAsia="Times New Roman" w:cstheme="minorHAnsi"/>
                <w:color w:val="000000" w:themeColor="text1"/>
                <w:sz w:val="22"/>
                <w:szCs w:val="22"/>
                <w:lang w:eastAsia="en-GB"/>
              </w:rPr>
              <w:t xml:space="preserve">Efficacy: overall survival, progression free survival, tumour response </w:t>
            </w:r>
          </w:p>
        </w:tc>
        <w:tc>
          <w:tcPr>
            <w:tcW w:w="3544" w:type="dxa"/>
            <w:tcBorders>
              <w:top w:val="single" w:sz="8" w:space="0" w:color="A3A3A3"/>
              <w:left w:val="nil"/>
              <w:bottom w:val="single" w:sz="8" w:space="0" w:color="A3A3A3"/>
              <w:right w:val="nil"/>
            </w:tcBorders>
            <w:tcMar>
              <w:top w:w="80" w:type="dxa"/>
              <w:left w:w="80" w:type="dxa"/>
              <w:bottom w:w="80" w:type="dxa"/>
              <w:right w:w="80" w:type="dxa"/>
            </w:tcMar>
            <w:hideMark/>
          </w:tcPr>
          <w:p w14:paraId="19422A4B" w14:textId="77777777" w:rsidR="00016A6E" w:rsidRPr="00C43F52" w:rsidRDefault="00016A6E" w:rsidP="005F54BD">
            <w:pPr>
              <w:pStyle w:val="ListParagraph"/>
              <w:numPr>
                <w:ilvl w:val="0"/>
                <w:numId w:val="12"/>
              </w:numPr>
              <w:rPr>
                <w:rFonts w:cstheme="minorHAnsi"/>
                <w:color w:val="000000" w:themeColor="text1"/>
                <w:sz w:val="22"/>
                <w:szCs w:val="22"/>
              </w:rPr>
            </w:pPr>
            <w:r w:rsidRPr="00C43F52">
              <w:rPr>
                <w:rFonts w:cstheme="minorHAnsi"/>
                <w:color w:val="000000" w:themeColor="text1"/>
                <w:sz w:val="22"/>
                <w:szCs w:val="22"/>
              </w:rPr>
              <w:t xml:space="preserve">Quality of life </w:t>
            </w:r>
          </w:p>
          <w:p w14:paraId="1A5D35B9" w14:textId="77777777" w:rsidR="00016A6E" w:rsidRPr="00C43F52" w:rsidRDefault="00016A6E" w:rsidP="005F54BD">
            <w:pPr>
              <w:pStyle w:val="ListParagraph"/>
              <w:numPr>
                <w:ilvl w:val="0"/>
                <w:numId w:val="12"/>
              </w:numPr>
              <w:rPr>
                <w:rFonts w:cstheme="minorHAnsi"/>
                <w:color w:val="000000" w:themeColor="text1"/>
                <w:sz w:val="22"/>
                <w:szCs w:val="22"/>
              </w:rPr>
            </w:pPr>
            <w:r w:rsidRPr="00C43F52">
              <w:rPr>
                <w:rFonts w:cstheme="minorHAnsi"/>
                <w:color w:val="000000" w:themeColor="text1"/>
                <w:sz w:val="22"/>
                <w:szCs w:val="22"/>
              </w:rPr>
              <w:t>Toxicity</w:t>
            </w:r>
          </w:p>
        </w:tc>
      </w:tr>
      <w:tr w:rsidR="00016A6E" w:rsidRPr="006868B4" w14:paraId="5C02791D" w14:textId="77777777" w:rsidTr="00C5391B">
        <w:tc>
          <w:tcPr>
            <w:tcW w:w="1408" w:type="dxa"/>
            <w:tcBorders>
              <w:top w:val="single" w:sz="8" w:space="0" w:color="A3A3A3"/>
              <w:left w:val="nil"/>
              <w:bottom w:val="single" w:sz="8" w:space="0" w:color="A3A3A3"/>
              <w:right w:val="nil"/>
            </w:tcBorders>
            <w:shd w:val="clear" w:color="auto" w:fill="B4C6E7" w:themeFill="accent1" w:themeFillTint="66"/>
            <w:tcMar>
              <w:top w:w="80" w:type="dxa"/>
              <w:left w:w="80" w:type="dxa"/>
              <w:bottom w:w="80" w:type="dxa"/>
              <w:right w:w="80" w:type="dxa"/>
            </w:tcMar>
            <w:hideMark/>
          </w:tcPr>
          <w:p w14:paraId="077B80C2" w14:textId="76179395" w:rsidR="00016A6E" w:rsidRPr="00EB5652" w:rsidRDefault="00016A6E" w:rsidP="005F54BD">
            <w:pPr>
              <w:rPr>
                <w:rFonts w:asciiTheme="minorHAnsi" w:hAnsiTheme="minorHAnsi" w:cstheme="minorHAnsi"/>
                <w:color w:val="000000" w:themeColor="text1"/>
                <w:sz w:val="22"/>
                <w:szCs w:val="22"/>
              </w:rPr>
            </w:pPr>
            <w:r w:rsidRPr="00EB5652">
              <w:rPr>
                <w:rFonts w:asciiTheme="minorHAnsi" w:hAnsiTheme="minorHAnsi" w:cstheme="minorHAnsi"/>
                <w:color w:val="000000" w:themeColor="text1"/>
                <w:sz w:val="22"/>
                <w:szCs w:val="22"/>
              </w:rPr>
              <w:t>Additional limits</w:t>
            </w:r>
          </w:p>
        </w:tc>
        <w:tc>
          <w:tcPr>
            <w:tcW w:w="4252" w:type="dxa"/>
            <w:tcBorders>
              <w:top w:val="single" w:sz="8" w:space="0" w:color="A3A3A3"/>
              <w:left w:val="nil"/>
              <w:bottom w:val="single" w:sz="8" w:space="0" w:color="A3A3A3"/>
              <w:right w:val="nil"/>
            </w:tcBorders>
            <w:tcMar>
              <w:top w:w="80" w:type="dxa"/>
              <w:left w:w="80" w:type="dxa"/>
              <w:bottom w:w="80" w:type="dxa"/>
              <w:right w:w="80" w:type="dxa"/>
            </w:tcMar>
            <w:hideMark/>
          </w:tcPr>
          <w:p w14:paraId="28074953" w14:textId="77777777" w:rsidR="00016A6E" w:rsidRPr="00C43F52" w:rsidRDefault="00016A6E" w:rsidP="005F54BD">
            <w:pPr>
              <w:pStyle w:val="ListParagraph"/>
              <w:numPr>
                <w:ilvl w:val="0"/>
                <w:numId w:val="12"/>
              </w:numPr>
              <w:rPr>
                <w:rFonts w:eastAsia="Times New Roman" w:cstheme="minorHAnsi"/>
                <w:color w:val="000000" w:themeColor="text1"/>
                <w:sz w:val="22"/>
                <w:szCs w:val="22"/>
                <w:lang w:eastAsia="en-GB"/>
              </w:rPr>
            </w:pPr>
            <w:r w:rsidRPr="00C43F52">
              <w:rPr>
                <w:rFonts w:eastAsia="Times New Roman" w:cstheme="minorHAnsi"/>
                <w:color w:val="000000" w:themeColor="text1"/>
                <w:sz w:val="22"/>
                <w:szCs w:val="22"/>
                <w:lang w:eastAsia="en-GB"/>
              </w:rPr>
              <w:t>Articles published between 2015-2025</w:t>
            </w:r>
          </w:p>
          <w:p w14:paraId="3A94CD7E" w14:textId="77777777" w:rsidR="00016A6E" w:rsidRPr="00C43F52" w:rsidRDefault="00016A6E" w:rsidP="005F54BD">
            <w:pPr>
              <w:pStyle w:val="ListParagraph"/>
              <w:numPr>
                <w:ilvl w:val="0"/>
                <w:numId w:val="12"/>
              </w:numPr>
              <w:rPr>
                <w:rFonts w:eastAsia="Times New Roman" w:cstheme="minorHAnsi"/>
                <w:color w:val="000000" w:themeColor="text1"/>
                <w:sz w:val="22"/>
                <w:szCs w:val="22"/>
                <w:lang w:eastAsia="en-GB"/>
              </w:rPr>
            </w:pPr>
            <w:r w:rsidRPr="00C43F52">
              <w:rPr>
                <w:rFonts w:eastAsia="Times New Roman" w:cstheme="minorHAnsi"/>
                <w:color w:val="000000" w:themeColor="text1"/>
                <w:sz w:val="22"/>
                <w:szCs w:val="22"/>
                <w:lang w:eastAsia="en-GB"/>
              </w:rPr>
              <w:t>Sample size &gt; 100</w:t>
            </w:r>
          </w:p>
          <w:p w14:paraId="799C3A87" w14:textId="77777777" w:rsidR="00016A6E" w:rsidRPr="00C43F52" w:rsidRDefault="00016A6E" w:rsidP="005F54BD">
            <w:pPr>
              <w:pStyle w:val="ListParagraph"/>
              <w:numPr>
                <w:ilvl w:val="0"/>
                <w:numId w:val="12"/>
              </w:numPr>
              <w:rPr>
                <w:rFonts w:eastAsia="Times New Roman" w:cstheme="minorHAnsi"/>
                <w:color w:val="000000" w:themeColor="text1"/>
                <w:sz w:val="22"/>
                <w:szCs w:val="22"/>
                <w:lang w:eastAsia="en-GB"/>
              </w:rPr>
            </w:pPr>
            <w:r w:rsidRPr="00C43F52">
              <w:rPr>
                <w:rFonts w:eastAsia="Times New Roman" w:cstheme="minorHAnsi"/>
                <w:color w:val="000000" w:themeColor="text1"/>
                <w:sz w:val="22"/>
                <w:szCs w:val="22"/>
                <w:lang w:eastAsia="en-GB"/>
              </w:rPr>
              <w:t xml:space="preserve">Full text available </w:t>
            </w:r>
          </w:p>
          <w:p w14:paraId="797E527D" w14:textId="77777777" w:rsidR="00016A6E" w:rsidRPr="00C43F52" w:rsidRDefault="00016A6E" w:rsidP="005F54BD">
            <w:pPr>
              <w:pStyle w:val="ListParagraph"/>
              <w:numPr>
                <w:ilvl w:val="0"/>
                <w:numId w:val="12"/>
              </w:numPr>
              <w:rPr>
                <w:rFonts w:eastAsia="Times New Roman" w:cstheme="minorHAnsi"/>
                <w:color w:val="000000" w:themeColor="text1"/>
                <w:sz w:val="22"/>
                <w:szCs w:val="22"/>
                <w:lang w:eastAsia="en-GB"/>
              </w:rPr>
            </w:pPr>
            <w:r w:rsidRPr="00C43F52">
              <w:rPr>
                <w:rFonts w:eastAsia="Times New Roman" w:cstheme="minorHAnsi"/>
                <w:color w:val="000000" w:themeColor="text1"/>
                <w:sz w:val="22"/>
                <w:szCs w:val="22"/>
                <w:lang w:eastAsia="en-GB"/>
              </w:rPr>
              <w:t>Studies from any country of origin with report in English</w:t>
            </w:r>
          </w:p>
          <w:p w14:paraId="7E2F7294" w14:textId="77777777" w:rsidR="00016A6E" w:rsidRPr="00C43F52" w:rsidRDefault="00016A6E" w:rsidP="005F54BD">
            <w:pPr>
              <w:pStyle w:val="ListParagraph"/>
              <w:numPr>
                <w:ilvl w:val="0"/>
                <w:numId w:val="12"/>
              </w:numPr>
              <w:rPr>
                <w:rFonts w:eastAsia="Times New Roman" w:cstheme="minorHAnsi"/>
                <w:color w:val="000000" w:themeColor="text1"/>
                <w:sz w:val="22"/>
                <w:szCs w:val="22"/>
                <w:lang w:eastAsia="en-GB"/>
              </w:rPr>
            </w:pPr>
            <w:r w:rsidRPr="00C43F52">
              <w:rPr>
                <w:rFonts w:eastAsia="Times New Roman" w:cstheme="minorHAnsi"/>
                <w:color w:val="000000" w:themeColor="text1"/>
                <w:sz w:val="22"/>
                <w:szCs w:val="22"/>
                <w:lang w:eastAsia="en-GB"/>
              </w:rPr>
              <w:t>Randomised controlled trials [RCT] and observational studies with retrospective or prospective design</w:t>
            </w:r>
          </w:p>
        </w:tc>
        <w:tc>
          <w:tcPr>
            <w:tcW w:w="3544" w:type="dxa"/>
            <w:tcBorders>
              <w:top w:val="single" w:sz="8" w:space="0" w:color="A3A3A3"/>
              <w:left w:val="nil"/>
              <w:bottom w:val="single" w:sz="8" w:space="0" w:color="A3A3A3"/>
              <w:right w:val="nil"/>
            </w:tcBorders>
            <w:tcMar>
              <w:top w:w="80" w:type="dxa"/>
              <w:left w:w="80" w:type="dxa"/>
              <w:bottom w:w="80" w:type="dxa"/>
              <w:right w:w="80" w:type="dxa"/>
            </w:tcMar>
            <w:hideMark/>
          </w:tcPr>
          <w:p w14:paraId="7D4B8AA1" w14:textId="77777777" w:rsidR="00016A6E" w:rsidRPr="00C43F52" w:rsidRDefault="00016A6E" w:rsidP="005F54BD">
            <w:pPr>
              <w:pStyle w:val="ListParagraph"/>
              <w:numPr>
                <w:ilvl w:val="0"/>
                <w:numId w:val="12"/>
              </w:numPr>
              <w:textAlignment w:val="center"/>
              <w:rPr>
                <w:rFonts w:eastAsia="Times New Roman" w:cstheme="minorHAnsi"/>
                <w:color w:val="000000" w:themeColor="text1"/>
                <w:sz w:val="22"/>
                <w:szCs w:val="22"/>
                <w:lang w:eastAsia="en-GB"/>
              </w:rPr>
            </w:pPr>
            <w:r w:rsidRPr="00C43F52">
              <w:rPr>
                <w:rFonts w:eastAsia="Times New Roman" w:cstheme="minorHAnsi"/>
                <w:color w:val="000000" w:themeColor="text1"/>
                <w:sz w:val="22"/>
                <w:szCs w:val="22"/>
                <w:lang w:eastAsia="en-GB"/>
              </w:rPr>
              <w:t>Sample size &lt; 100</w:t>
            </w:r>
          </w:p>
          <w:p w14:paraId="56122DDC" w14:textId="77777777" w:rsidR="00016A6E" w:rsidRPr="00C43F52" w:rsidRDefault="00016A6E" w:rsidP="005F54BD">
            <w:pPr>
              <w:pStyle w:val="ListParagraph"/>
              <w:numPr>
                <w:ilvl w:val="0"/>
                <w:numId w:val="12"/>
              </w:numPr>
              <w:textAlignment w:val="center"/>
              <w:rPr>
                <w:rFonts w:eastAsia="Times New Roman" w:cstheme="minorHAnsi"/>
                <w:color w:val="000000" w:themeColor="text1"/>
                <w:sz w:val="22"/>
                <w:szCs w:val="22"/>
                <w:lang w:eastAsia="en-GB"/>
              </w:rPr>
            </w:pPr>
            <w:r w:rsidRPr="00C43F52">
              <w:rPr>
                <w:rFonts w:eastAsia="Times New Roman" w:cstheme="minorHAnsi"/>
                <w:color w:val="000000" w:themeColor="text1"/>
                <w:sz w:val="22"/>
                <w:szCs w:val="22"/>
                <w:lang w:eastAsia="en-GB"/>
              </w:rPr>
              <w:t xml:space="preserve">Duplicate reports of the same findings  </w:t>
            </w:r>
          </w:p>
          <w:p w14:paraId="12763601" w14:textId="77777777" w:rsidR="00016A6E" w:rsidRPr="00C43F52" w:rsidRDefault="00016A6E" w:rsidP="005F54BD">
            <w:pPr>
              <w:pStyle w:val="ListParagraph"/>
              <w:numPr>
                <w:ilvl w:val="0"/>
                <w:numId w:val="12"/>
              </w:numPr>
              <w:textAlignment w:val="center"/>
              <w:rPr>
                <w:rFonts w:eastAsia="Times New Roman" w:cstheme="minorHAnsi"/>
                <w:color w:val="000000" w:themeColor="text1"/>
                <w:sz w:val="22"/>
                <w:szCs w:val="22"/>
                <w:lang w:eastAsia="en-GB"/>
              </w:rPr>
            </w:pPr>
            <w:r w:rsidRPr="00C43F52">
              <w:rPr>
                <w:rFonts w:eastAsia="Times New Roman" w:cstheme="minorHAnsi"/>
                <w:color w:val="000000" w:themeColor="text1"/>
                <w:sz w:val="22"/>
                <w:szCs w:val="22"/>
                <w:lang w:eastAsia="en-GB"/>
              </w:rPr>
              <w:t xml:space="preserve">Case reports, review articles, guidelines, scientific abstracts </w:t>
            </w:r>
          </w:p>
        </w:tc>
      </w:tr>
    </w:tbl>
    <w:p w14:paraId="65ED2294" w14:textId="77777777" w:rsidR="00016A6E" w:rsidRDefault="00016A6E" w:rsidP="00016A6E">
      <w:pPr>
        <w:pStyle w:val="NormalWeb"/>
        <w:spacing w:before="0" w:beforeAutospacing="0" w:after="0" w:afterAutospacing="0"/>
        <w:rPr>
          <w:rFonts w:asciiTheme="minorHAnsi" w:hAnsiTheme="minorHAnsi" w:cstheme="minorHAnsi"/>
          <w:color w:val="000000" w:themeColor="text1"/>
          <w:sz w:val="22"/>
          <w:szCs w:val="22"/>
        </w:rPr>
      </w:pPr>
    </w:p>
    <w:p w14:paraId="555467D3" w14:textId="77777777" w:rsidR="00016A6E" w:rsidRPr="00C43F52" w:rsidRDefault="00016A6E" w:rsidP="00016A6E">
      <w:pPr>
        <w:spacing w:line="276" w:lineRule="auto"/>
        <w:rPr>
          <w:rFonts w:asciiTheme="minorHAnsi" w:hAnsiTheme="minorHAnsi" w:cstheme="minorHAnsi"/>
          <w:i/>
          <w:iCs/>
          <w:color w:val="000000" w:themeColor="text1"/>
        </w:rPr>
      </w:pPr>
      <w:r w:rsidRPr="00C43F52">
        <w:rPr>
          <w:rFonts w:asciiTheme="minorHAnsi" w:hAnsiTheme="minorHAnsi" w:cstheme="minorHAnsi"/>
          <w:i/>
          <w:iCs/>
          <w:color w:val="000000" w:themeColor="text1"/>
        </w:rPr>
        <w:t xml:space="preserve">Data selection and extraction </w:t>
      </w:r>
    </w:p>
    <w:p w14:paraId="3B9DF380" w14:textId="32EC3BC9" w:rsidR="00016A6E" w:rsidRPr="006868B4" w:rsidRDefault="00016A6E" w:rsidP="00F06FFE">
      <w:pPr>
        <w:pStyle w:val="NormalWeb"/>
        <w:spacing w:before="0" w:beforeAutospacing="0" w:after="240" w:afterAutospacing="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rPr>
        <w:t>Duplicate articles were removed, before comparing article titles and abstracts against inclusion and exclusion criteria</w:t>
      </w:r>
      <w:r w:rsidR="00025EBC">
        <w:rPr>
          <w:rFonts w:asciiTheme="minorHAnsi" w:hAnsiTheme="minorHAnsi" w:cstheme="minorHAnsi"/>
          <w:color w:val="000000" w:themeColor="text1"/>
        </w:rPr>
        <w:t>.</w:t>
      </w:r>
      <w:r w:rsidR="00025EBC" w:rsidRPr="00025EBC">
        <w:rPr>
          <w:rFonts w:asciiTheme="minorHAnsi" w:hAnsiTheme="minorHAnsi" w:cstheme="minorHAnsi"/>
          <w:color w:val="000000" w:themeColor="text1"/>
          <w:vertAlign w:val="superscript"/>
        </w:rPr>
        <w:t>20</w:t>
      </w:r>
      <w:r>
        <w:rPr>
          <w:rFonts w:asciiTheme="minorHAnsi" w:hAnsiTheme="minorHAnsi" w:cstheme="minorHAnsi"/>
          <w:color w:val="000000" w:themeColor="text1"/>
        </w:rPr>
        <w:t xml:space="preserve"> </w:t>
      </w:r>
      <w:r w:rsidR="00025EBC">
        <w:rPr>
          <w:rFonts w:asciiTheme="minorHAnsi" w:hAnsiTheme="minorHAnsi" w:cstheme="minorHAnsi"/>
          <w:color w:val="000000" w:themeColor="text1"/>
        </w:rPr>
        <w:t>The f</w:t>
      </w:r>
      <w:r>
        <w:rPr>
          <w:rFonts w:asciiTheme="minorHAnsi" w:hAnsiTheme="minorHAnsi" w:cstheme="minorHAnsi"/>
          <w:color w:val="000000" w:themeColor="text1"/>
        </w:rPr>
        <w:t xml:space="preserve">ull text of remaining articles was then checked for eligibility and relevance. Key study characteristics and outcomes </w:t>
      </w:r>
      <w:r w:rsidR="00025EBC">
        <w:rPr>
          <w:rFonts w:asciiTheme="minorHAnsi" w:hAnsiTheme="minorHAnsi" w:cstheme="minorHAnsi"/>
          <w:color w:val="000000" w:themeColor="text1"/>
        </w:rPr>
        <w:t>–</w:t>
      </w:r>
      <w:r>
        <w:rPr>
          <w:rFonts w:asciiTheme="minorHAnsi" w:hAnsiTheme="minorHAnsi" w:cstheme="minorHAnsi"/>
          <w:color w:val="000000" w:themeColor="text1"/>
        </w:rPr>
        <w:t xml:space="preserve"> patient age, co-morbidities, disease severity and follow up times </w:t>
      </w:r>
      <w:r w:rsidR="00025EBC">
        <w:rPr>
          <w:rFonts w:asciiTheme="minorHAnsi" w:hAnsiTheme="minorHAnsi" w:cstheme="minorHAnsi"/>
          <w:color w:val="000000" w:themeColor="text1"/>
        </w:rPr>
        <w:t>–</w:t>
      </w:r>
      <w:r>
        <w:rPr>
          <w:rFonts w:asciiTheme="minorHAnsi" w:hAnsiTheme="minorHAnsi" w:cstheme="minorHAnsi"/>
          <w:color w:val="000000" w:themeColor="text1"/>
        </w:rPr>
        <w:t xml:space="preserve"> were extracted for retained articles and tabulated to support systemic data synthesis and comparison of PICO elements across </w:t>
      </w:r>
      <w:r w:rsidR="00F06FFE">
        <w:rPr>
          <w:rFonts w:asciiTheme="minorHAnsi" w:hAnsiTheme="minorHAnsi" w:cstheme="minorHAnsi"/>
          <w:color w:val="000000" w:themeColor="text1"/>
        </w:rPr>
        <w:t xml:space="preserve">the </w:t>
      </w:r>
      <w:r>
        <w:rPr>
          <w:rFonts w:asciiTheme="minorHAnsi" w:hAnsiTheme="minorHAnsi" w:cstheme="minorHAnsi"/>
          <w:color w:val="000000" w:themeColor="text1"/>
        </w:rPr>
        <w:t>selected literature</w:t>
      </w:r>
      <w:r w:rsidR="00F06FFE">
        <w:rPr>
          <w:rFonts w:asciiTheme="minorHAnsi" w:hAnsiTheme="minorHAnsi" w:cstheme="minorHAnsi"/>
          <w:color w:val="000000" w:themeColor="text1"/>
        </w:rPr>
        <w:t>.</w:t>
      </w:r>
      <w:r w:rsidR="00F06FFE" w:rsidRPr="00F06FFE">
        <w:rPr>
          <w:rFonts w:asciiTheme="minorHAnsi" w:hAnsiTheme="minorHAnsi" w:cstheme="minorHAnsi"/>
          <w:color w:val="000000" w:themeColor="text1"/>
          <w:vertAlign w:val="superscript"/>
        </w:rPr>
        <w:t>23</w:t>
      </w:r>
      <w:r>
        <w:rPr>
          <w:rFonts w:asciiTheme="minorHAnsi" w:hAnsiTheme="minorHAnsi" w:cstheme="minorHAnsi"/>
          <w:color w:val="000000" w:themeColor="text1"/>
        </w:rPr>
        <w:t xml:space="preserve"> Variations in dosage, treatment cycles and therapy lines were noted and considered during analysis.  </w:t>
      </w:r>
    </w:p>
    <w:p w14:paraId="6C832EDD" w14:textId="6ECDB588" w:rsidR="00016A6E" w:rsidRPr="00F06FFE" w:rsidRDefault="00016A6E" w:rsidP="00F06FFE">
      <w:pPr>
        <w:pStyle w:val="NormalWeb"/>
        <w:spacing w:before="0" w:beforeAutospacing="0" w:after="0" w:afterAutospacing="0"/>
        <w:rPr>
          <w:rFonts w:asciiTheme="minorHAnsi" w:hAnsiTheme="minorHAnsi" w:cstheme="minorHAnsi"/>
          <w:i/>
          <w:iCs/>
          <w:color w:val="000000" w:themeColor="text1"/>
        </w:rPr>
      </w:pPr>
      <w:r w:rsidRPr="00F06FFE">
        <w:rPr>
          <w:rFonts w:asciiTheme="minorHAnsi" w:hAnsiTheme="minorHAnsi" w:cstheme="minorHAnsi"/>
          <w:i/>
          <w:iCs/>
          <w:color w:val="000000" w:themeColor="text1"/>
        </w:rPr>
        <w:t xml:space="preserve">Critical appraisal </w:t>
      </w:r>
    </w:p>
    <w:p w14:paraId="600F85E5" w14:textId="77777777" w:rsidR="005F7E9F" w:rsidRDefault="00016A6E" w:rsidP="005F7E9F">
      <w:pPr>
        <w:pStyle w:val="NormalWeb"/>
        <w:spacing w:before="0" w:beforeAutospacing="0" w:after="0" w:afterAutospacing="0" w:line="276" w:lineRule="auto"/>
        <w:rPr>
          <w:rFonts w:asciiTheme="minorHAnsi" w:hAnsiTheme="minorHAnsi" w:cstheme="minorHAnsi"/>
          <w:color w:val="000000" w:themeColor="text1"/>
        </w:rPr>
      </w:pPr>
      <w:r>
        <w:rPr>
          <w:rFonts w:asciiTheme="minorHAnsi" w:hAnsiTheme="minorHAnsi" w:cstheme="minorHAnsi"/>
          <w:color w:val="000000" w:themeColor="text1"/>
        </w:rPr>
        <w:t>The quality of selected articles was appraised using study design appropriate CASP checklists</w:t>
      </w:r>
      <w:r w:rsidR="00F06FFE" w:rsidRPr="00F06FFE">
        <w:rPr>
          <w:rFonts w:asciiTheme="minorHAnsi" w:hAnsiTheme="minorHAnsi" w:cstheme="minorHAnsi"/>
          <w:color w:val="000000" w:themeColor="text1"/>
          <w:vertAlign w:val="superscript"/>
        </w:rPr>
        <w:t>21</w:t>
      </w:r>
      <w:r>
        <w:rPr>
          <w:rFonts w:asciiTheme="minorHAnsi" w:hAnsiTheme="minorHAnsi" w:cstheme="minorHAnsi"/>
          <w:color w:val="000000" w:themeColor="text1"/>
        </w:rPr>
        <w:t xml:space="preserve">  and Cochrane assessments</w:t>
      </w:r>
      <w:r w:rsidR="00097771">
        <w:rPr>
          <w:rFonts w:asciiTheme="minorHAnsi" w:hAnsiTheme="minorHAnsi" w:cstheme="minorHAnsi"/>
          <w:color w:val="000000" w:themeColor="text1"/>
        </w:rPr>
        <w:t>.</w:t>
      </w:r>
      <w:r w:rsidR="00097771" w:rsidRPr="00097771">
        <w:rPr>
          <w:rFonts w:asciiTheme="minorHAnsi" w:hAnsiTheme="minorHAnsi" w:cstheme="minorHAnsi"/>
          <w:color w:val="000000" w:themeColor="text1"/>
          <w:vertAlign w:val="superscript"/>
        </w:rPr>
        <w:t>22</w:t>
      </w:r>
      <w:r>
        <w:rPr>
          <w:rFonts w:asciiTheme="minorHAnsi" w:hAnsiTheme="minorHAnsi" w:cstheme="minorHAnsi"/>
          <w:color w:val="000000" w:themeColor="text1"/>
        </w:rPr>
        <w:t xml:space="preserve"> The included studies primarily used a retrospective design, which carry a greater risk of bias as participants are identified from past patient records from the time of treatment</w:t>
      </w:r>
      <w:r w:rsidR="00097771">
        <w:rPr>
          <w:rFonts w:asciiTheme="minorHAnsi" w:hAnsiTheme="minorHAnsi" w:cstheme="minorHAnsi"/>
          <w:color w:val="000000" w:themeColor="text1"/>
        </w:rPr>
        <w:t>.</w:t>
      </w:r>
      <w:r w:rsidR="00097771" w:rsidRPr="00097771">
        <w:rPr>
          <w:rFonts w:asciiTheme="minorHAnsi" w:hAnsiTheme="minorHAnsi" w:cstheme="minorHAnsi"/>
          <w:color w:val="000000" w:themeColor="text1"/>
          <w:vertAlign w:val="superscript"/>
        </w:rPr>
        <w:t>6</w:t>
      </w:r>
      <w:r>
        <w:rPr>
          <w:rFonts w:asciiTheme="minorHAnsi" w:hAnsiTheme="minorHAnsi" w:cstheme="minorHAnsi"/>
          <w:color w:val="000000" w:themeColor="text1"/>
        </w:rPr>
        <w:t xml:space="preserve"> Therefore, the strength and weighting of evidence was considered important to maximise rigour and minimise inconsistency in this </w:t>
      </w:r>
      <w:r w:rsidR="004B2DFA">
        <w:rPr>
          <w:rFonts w:asciiTheme="minorHAnsi" w:hAnsiTheme="minorHAnsi" w:cstheme="minorHAnsi"/>
          <w:color w:val="000000" w:themeColor="text1"/>
        </w:rPr>
        <w:t>appraisal</w:t>
      </w:r>
      <w:r>
        <w:rPr>
          <w:rFonts w:asciiTheme="minorHAnsi" w:hAnsiTheme="minorHAnsi" w:cstheme="minorHAnsi"/>
          <w:color w:val="000000" w:themeColor="text1"/>
        </w:rPr>
        <w:t xml:space="preserve"> conducted by a lone undergraduate student. </w:t>
      </w:r>
      <w:r w:rsidRPr="006868B4">
        <w:rPr>
          <w:rFonts w:asciiTheme="minorHAnsi" w:hAnsiTheme="minorHAnsi" w:cstheme="minorHAnsi"/>
          <w:color w:val="000000" w:themeColor="text1"/>
        </w:rPr>
        <w:t xml:space="preserve">Risk </w:t>
      </w:r>
      <w:r>
        <w:rPr>
          <w:rFonts w:asciiTheme="minorHAnsi" w:hAnsiTheme="minorHAnsi" w:cstheme="minorHAnsi"/>
          <w:color w:val="000000" w:themeColor="text1"/>
        </w:rPr>
        <w:t>o</w:t>
      </w:r>
      <w:r w:rsidRPr="006868B4">
        <w:rPr>
          <w:rFonts w:asciiTheme="minorHAnsi" w:hAnsiTheme="minorHAnsi" w:cstheme="minorHAnsi"/>
          <w:color w:val="000000" w:themeColor="text1"/>
        </w:rPr>
        <w:t xml:space="preserve">f </w:t>
      </w:r>
      <w:r>
        <w:rPr>
          <w:rFonts w:asciiTheme="minorHAnsi" w:hAnsiTheme="minorHAnsi" w:cstheme="minorHAnsi"/>
          <w:color w:val="000000" w:themeColor="text1"/>
        </w:rPr>
        <w:t>b</w:t>
      </w:r>
      <w:r w:rsidRPr="006868B4">
        <w:rPr>
          <w:rFonts w:asciiTheme="minorHAnsi" w:hAnsiTheme="minorHAnsi" w:cstheme="minorHAnsi"/>
          <w:color w:val="000000" w:themeColor="text1"/>
        </w:rPr>
        <w:t>ias</w:t>
      </w:r>
      <w:r>
        <w:rPr>
          <w:rFonts w:asciiTheme="minorHAnsi" w:hAnsiTheme="minorHAnsi" w:cstheme="minorHAnsi"/>
          <w:color w:val="000000" w:themeColor="text1"/>
        </w:rPr>
        <w:t xml:space="preserve"> was assessed using the </w:t>
      </w:r>
      <w:r w:rsidR="004B2DFA" w:rsidRPr="006868B4">
        <w:rPr>
          <w:rFonts w:asciiTheme="minorHAnsi" w:hAnsiTheme="minorHAnsi" w:cstheme="minorHAnsi"/>
          <w:color w:val="000000" w:themeColor="text1"/>
        </w:rPr>
        <w:t>Risk-</w:t>
      </w:r>
      <w:r w:rsidR="004B2DFA">
        <w:rPr>
          <w:rFonts w:asciiTheme="minorHAnsi" w:hAnsiTheme="minorHAnsi" w:cstheme="minorHAnsi"/>
          <w:color w:val="000000" w:themeColor="text1"/>
        </w:rPr>
        <w:t>o</w:t>
      </w:r>
      <w:r w:rsidR="004B2DFA" w:rsidRPr="006868B4">
        <w:rPr>
          <w:rFonts w:asciiTheme="minorHAnsi" w:hAnsiTheme="minorHAnsi" w:cstheme="minorHAnsi"/>
          <w:color w:val="000000" w:themeColor="text1"/>
        </w:rPr>
        <w:t xml:space="preserve">f-Bias </w:t>
      </w:r>
      <w:r w:rsidR="004B2DFA">
        <w:rPr>
          <w:rFonts w:asciiTheme="minorHAnsi" w:hAnsiTheme="minorHAnsi" w:cstheme="minorHAnsi"/>
          <w:color w:val="000000" w:themeColor="text1"/>
        </w:rPr>
        <w:t>(</w:t>
      </w:r>
      <w:proofErr w:type="spellStart"/>
      <w:r w:rsidR="004B2DFA" w:rsidRPr="006868B4">
        <w:rPr>
          <w:rFonts w:asciiTheme="minorHAnsi" w:hAnsiTheme="minorHAnsi" w:cstheme="minorHAnsi"/>
          <w:color w:val="000000" w:themeColor="text1"/>
        </w:rPr>
        <w:t>R</w:t>
      </w:r>
      <w:r w:rsidR="004B2DFA">
        <w:rPr>
          <w:rFonts w:asciiTheme="minorHAnsi" w:hAnsiTheme="minorHAnsi" w:cstheme="minorHAnsi"/>
          <w:color w:val="000000" w:themeColor="text1"/>
        </w:rPr>
        <w:t>o</w:t>
      </w:r>
      <w:r w:rsidR="004B2DFA" w:rsidRPr="006868B4">
        <w:rPr>
          <w:rFonts w:asciiTheme="minorHAnsi" w:hAnsiTheme="minorHAnsi" w:cstheme="minorHAnsi"/>
          <w:color w:val="000000" w:themeColor="text1"/>
        </w:rPr>
        <w:t>B</w:t>
      </w:r>
      <w:proofErr w:type="spellEnd"/>
      <w:r w:rsidR="004B2DFA" w:rsidRPr="006868B4">
        <w:rPr>
          <w:rFonts w:asciiTheme="minorHAnsi" w:hAnsiTheme="minorHAnsi" w:cstheme="minorHAnsi"/>
          <w:color w:val="000000" w:themeColor="text1"/>
        </w:rPr>
        <w:t xml:space="preserve"> 2</w:t>
      </w:r>
      <w:r w:rsidR="004B2DFA">
        <w:rPr>
          <w:rFonts w:asciiTheme="minorHAnsi" w:hAnsiTheme="minorHAnsi" w:cstheme="minorHAnsi"/>
          <w:color w:val="000000" w:themeColor="text1"/>
        </w:rPr>
        <w:t>)</w:t>
      </w:r>
      <w:r w:rsidR="005F7E9F" w:rsidRPr="006C541D">
        <w:rPr>
          <w:rFonts w:asciiTheme="minorHAnsi" w:hAnsiTheme="minorHAnsi" w:cstheme="minorHAnsi"/>
          <w:color w:val="000000" w:themeColor="text1"/>
          <w:vertAlign w:val="superscript"/>
        </w:rPr>
        <w:t>22</w:t>
      </w:r>
      <w:r w:rsidR="004B2DFA">
        <w:rPr>
          <w:rFonts w:asciiTheme="minorHAnsi" w:hAnsiTheme="minorHAnsi" w:cstheme="minorHAnsi"/>
          <w:color w:val="000000" w:themeColor="text1"/>
        </w:rPr>
        <w:t xml:space="preserve"> </w:t>
      </w:r>
      <w:r>
        <w:rPr>
          <w:rFonts w:asciiTheme="minorHAnsi" w:hAnsiTheme="minorHAnsi" w:cstheme="minorHAnsi"/>
          <w:color w:val="000000" w:themeColor="text1"/>
        </w:rPr>
        <w:t>Risk Of Bias</w:t>
      </w:r>
      <w:r w:rsidRPr="006868B4">
        <w:rPr>
          <w:rFonts w:asciiTheme="minorHAnsi" w:hAnsiTheme="minorHAnsi" w:cstheme="minorHAnsi"/>
          <w:color w:val="000000" w:themeColor="text1"/>
        </w:rPr>
        <w:t xml:space="preserve"> </w:t>
      </w:r>
      <w:r>
        <w:rPr>
          <w:rFonts w:asciiTheme="minorHAnsi" w:hAnsiTheme="minorHAnsi" w:cstheme="minorHAnsi"/>
          <w:color w:val="000000" w:themeColor="text1"/>
        </w:rPr>
        <w:t>I</w:t>
      </w:r>
      <w:r w:rsidRPr="006868B4">
        <w:rPr>
          <w:rFonts w:asciiTheme="minorHAnsi" w:hAnsiTheme="minorHAnsi" w:cstheme="minorHAnsi"/>
          <w:color w:val="000000" w:themeColor="text1"/>
        </w:rPr>
        <w:t xml:space="preserve">n Non-randomised Studies of Interventions </w:t>
      </w:r>
      <w:r w:rsidR="005F7E9F">
        <w:rPr>
          <w:rFonts w:asciiTheme="minorHAnsi" w:hAnsiTheme="minorHAnsi" w:cstheme="minorHAnsi"/>
          <w:color w:val="000000" w:themeColor="text1"/>
        </w:rPr>
        <w:t>(</w:t>
      </w:r>
      <w:r w:rsidRPr="006868B4">
        <w:rPr>
          <w:rFonts w:asciiTheme="minorHAnsi" w:hAnsiTheme="minorHAnsi" w:cstheme="minorHAnsi"/>
          <w:color w:val="000000" w:themeColor="text1"/>
        </w:rPr>
        <w:t>ROBINS-I</w:t>
      </w:r>
      <w:r w:rsidR="005F7E9F">
        <w:rPr>
          <w:rFonts w:asciiTheme="minorHAnsi" w:hAnsiTheme="minorHAnsi" w:cstheme="minorHAnsi"/>
          <w:color w:val="000000" w:themeColor="text1"/>
        </w:rPr>
        <w:t>)</w:t>
      </w:r>
      <w:r w:rsidR="005F7E9F" w:rsidRPr="006C541D">
        <w:rPr>
          <w:rFonts w:asciiTheme="minorHAnsi" w:hAnsiTheme="minorHAnsi" w:cstheme="minorHAnsi"/>
          <w:color w:val="000000" w:themeColor="text1"/>
          <w:vertAlign w:val="superscript"/>
        </w:rPr>
        <w:t>23</w:t>
      </w:r>
      <w:r w:rsidR="005F7E9F">
        <w:rPr>
          <w:rFonts w:asciiTheme="minorHAnsi" w:hAnsiTheme="minorHAnsi" w:cstheme="minorHAnsi"/>
          <w:color w:val="000000" w:themeColor="text1"/>
        </w:rPr>
        <w:t xml:space="preserve"> </w:t>
      </w:r>
      <w:r>
        <w:rPr>
          <w:rFonts w:asciiTheme="minorHAnsi" w:hAnsiTheme="minorHAnsi" w:cstheme="minorHAnsi"/>
          <w:color w:val="000000" w:themeColor="text1"/>
        </w:rPr>
        <w:t>tools</w:t>
      </w:r>
      <w:r w:rsidR="005F7E9F">
        <w:rPr>
          <w:rFonts w:asciiTheme="minorHAnsi" w:hAnsiTheme="minorHAnsi" w:cstheme="minorHAnsi"/>
          <w:color w:val="000000" w:themeColor="text1"/>
        </w:rPr>
        <w:t>.</w:t>
      </w:r>
    </w:p>
    <w:p w14:paraId="52C1B9E3" w14:textId="2D93BBCC" w:rsidR="00016A6E" w:rsidRPr="006C541D" w:rsidRDefault="006C541D" w:rsidP="006C541D">
      <w:pPr>
        <w:pStyle w:val="NormalWeb"/>
        <w:spacing w:before="240" w:beforeAutospacing="0" w:after="0" w:afterAutospacing="0" w:line="276" w:lineRule="auto"/>
        <w:rPr>
          <w:rFonts w:asciiTheme="minorHAnsi" w:hAnsiTheme="minorHAnsi" w:cstheme="minorHAnsi"/>
          <w:i/>
          <w:iCs/>
          <w:color w:val="000000" w:themeColor="text1"/>
        </w:rPr>
      </w:pPr>
      <w:r w:rsidRPr="006C541D">
        <w:rPr>
          <w:rFonts w:asciiTheme="minorHAnsi" w:hAnsiTheme="minorHAnsi" w:cstheme="minorHAnsi"/>
          <w:i/>
          <w:iCs/>
          <w:color w:val="000000" w:themeColor="text1"/>
        </w:rPr>
        <w:t>D</w:t>
      </w:r>
      <w:r w:rsidR="00016A6E" w:rsidRPr="006C541D">
        <w:rPr>
          <w:rFonts w:asciiTheme="minorHAnsi" w:hAnsiTheme="minorHAnsi" w:cstheme="minorHAnsi"/>
          <w:i/>
          <w:iCs/>
          <w:color w:val="000000" w:themeColor="text1"/>
        </w:rPr>
        <w:t xml:space="preserve">ata analysis and synthesis </w:t>
      </w:r>
    </w:p>
    <w:p w14:paraId="7580777D" w14:textId="6BEC8D5E" w:rsidR="00016A6E" w:rsidRPr="006868B4" w:rsidRDefault="00016A6E" w:rsidP="00016A6E">
      <w:pPr>
        <w:pStyle w:val="NormalWeb"/>
        <w:spacing w:before="0" w:beforeAutospacing="0" w:after="0" w:afterAutospacing="0" w:line="276" w:lineRule="auto"/>
        <w:rPr>
          <w:rFonts w:asciiTheme="minorHAnsi" w:hAnsiTheme="minorHAnsi" w:cstheme="minorHAnsi"/>
          <w:color w:val="000000" w:themeColor="text1"/>
        </w:rPr>
      </w:pPr>
      <w:r>
        <w:rPr>
          <w:rFonts w:asciiTheme="minorHAnsi" w:hAnsiTheme="minorHAnsi" w:cstheme="minorHAnsi"/>
          <w:color w:val="000000" w:themeColor="text1"/>
        </w:rPr>
        <w:t>Results were screened and documented using PRISMA flow diagrams</w:t>
      </w:r>
      <w:r w:rsidR="00680656">
        <w:rPr>
          <w:rFonts w:asciiTheme="minorHAnsi" w:hAnsiTheme="minorHAnsi" w:cstheme="minorHAnsi"/>
          <w:color w:val="000000" w:themeColor="text1"/>
        </w:rPr>
        <w:t>.</w:t>
      </w:r>
      <w:r w:rsidR="00680656" w:rsidRPr="00680656">
        <w:rPr>
          <w:rFonts w:asciiTheme="minorHAnsi" w:hAnsiTheme="minorHAnsi" w:cstheme="minorHAnsi"/>
          <w:color w:val="000000" w:themeColor="text1"/>
          <w:vertAlign w:val="superscript"/>
        </w:rPr>
        <w:t>20</w:t>
      </w:r>
      <w:r>
        <w:rPr>
          <w:rFonts w:asciiTheme="minorHAnsi" w:hAnsiTheme="minorHAnsi" w:cstheme="minorHAnsi"/>
          <w:color w:val="000000" w:themeColor="text1"/>
        </w:rPr>
        <w:t xml:space="preserve"> A narrative analysis was conducted that summarised OS and PFS for the total sample and across the subtypes and as appropriate. In addition, the efficacy was compared between the experimental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w:t>
      </w:r>
      <w:r>
        <w:rPr>
          <w:rFonts w:asciiTheme="minorHAnsi" w:hAnsiTheme="minorHAnsi" w:cstheme="minorHAnsi"/>
          <w:color w:val="000000" w:themeColor="text1"/>
        </w:rPr>
        <w:t xml:space="preserve"> intervention and control groups when applicable. Meta-analysis would be an ideal analytical approach for an efficacy outcome</w:t>
      </w:r>
      <w:r w:rsidR="00680656">
        <w:rPr>
          <w:rFonts w:asciiTheme="minorHAnsi" w:hAnsiTheme="minorHAnsi" w:cstheme="minorHAnsi"/>
          <w:color w:val="000000" w:themeColor="text1"/>
        </w:rPr>
        <w:t>,</w:t>
      </w:r>
      <w:r w:rsidR="00CF542C" w:rsidRPr="00CF542C">
        <w:rPr>
          <w:rFonts w:asciiTheme="minorHAnsi" w:hAnsiTheme="minorHAnsi" w:cstheme="minorHAnsi"/>
          <w:color w:val="000000" w:themeColor="text1"/>
          <w:vertAlign w:val="superscript"/>
        </w:rPr>
        <w:t>13</w:t>
      </w:r>
      <w:r>
        <w:rPr>
          <w:rFonts w:asciiTheme="minorHAnsi" w:hAnsiTheme="minorHAnsi" w:cstheme="minorHAnsi"/>
          <w:color w:val="000000" w:themeColor="text1"/>
        </w:rPr>
        <w:t xml:space="preserve"> however it was considered too </w:t>
      </w:r>
      <w:r>
        <w:rPr>
          <w:rFonts w:asciiTheme="minorHAnsi" w:hAnsiTheme="minorHAnsi" w:cstheme="minorHAnsi"/>
          <w:color w:val="000000" w:themeColor="text1"/>
        </w:rPr>
        <w:lastRenderedPageBreak/>
        <w:t xml:space="preserve">statistically complex for an undergraduate SLR. </w:t>
      </w:r>
      <w:r w:rsidRPr="006868B4">
        <w:rPr>
          <w:rFonts w:asciiTheme="minorHAnsi" w:hAnsiTheme="minorHAnsi" w:cstheme="minorHAnsi"/>
          <w:color w:val="000000" w:themeColor="text1"/>
        </w:rPr>
        <w:t>V</w:t>
      </w:r>
      <w:r>
        <w:rPr>
          <w:rFonts w:asciiTheme="minorHAnsi" w:hAnsiTheme="minorHAnsi" w:cstheme="minorHAnsi"/>
          <w:color w:val="000000" w:themeColor="text1"/>
        </w:rPr>
        <w:t xml:space="preserve">ariations in dosage, treatment cycles, therapy lines and outcome duration were noted and considered during analysis, which also limit the use of meta-analysis. </w:t>
      </w:r>
    </w:p>
    <w:p w14:paraId="0E48353C" w14:textId="77777777" w:rsidR="00016A6E" w:rsidRPr="00CF542C" w:rsidRDefault="00016A6E" w:rsidP="00CF542C">
      <w:pPr>
        <w:spacing w:before="240" w:after="240" w:line="276" w:lineRule="auto"/>
        <w:rPr>
          <w:rFonts w:asciiTheme="minorHAnsi" w:hAnsiTheme="minorHAnsi" w:cstheme="minorHAnsi"/>
          <w:b/>
          <w:bCs/>
          <w:color w:val="000000" w:themeColor="text1"/>
          <w:sz w:val="28"/>
          <w:szCs w:val="28"/>
        </w:rPr>
      </w:pPr>
      <w:r w:rsidRPr="00CF542C">
        <w:rPr>
          <w:rFonts w:asciiTheme="minorHAnsi" w:hAnsiTheme="minorHAnsi" w:cstheme="minorHAnsi"/>
          <w:b/>
          <w:bCs/>
          <w:color w:val="000000" w:themeColor="text1"/>
          <w:sz w:val="28"/>
          <w:szCs w:val="28"/>
        </w:rPr>
        <w:t xml:space="preserve">Results   </w:t>
      </w:r>
    </w:p>
    <w:p w14:paraId="3A61E0FE" w14:textId="04F3E91A" w:rsidR="00016A6E" w:rsidRDefault="00016A6E" w:rsidP="00212676">
      <w:pPr>
        <w:spacing w:after="240" w:line="276" w:lineRule="auto"/>
        <w:rPr>
          <w:rFonts w:asciiTheme="minorHAnsi" w:hAnsiTheme="minorHAnsi" w:cstheme="minorHAnsi"/>
        </w:rPr>
      </w:pPr>
      <w:r w:rsidRPr="009A67AA">
        <w:rPr>
          <w:rFonts w:asciiTheme="minorHAnsi" w:hAnsiTheme="minorHAnsi" w:cstheme="minorHAnsi"/>
        </w:rPr>
        <w:t xml:space="preserve">The selection of eight articles that met the eligibility criteria for the two evidence sources </w:t>
      </w:r>
      <w:r w:rsidR="00933D61" w:rsidRPr="009A67AA">
        <w:rPr>
          <w:rFonts w:asciiTheme="minorHAnsi" w:hAnsiTheme="minorHAnsi" w:cstheme="minorHAnsi"/>
        </w:rPr>
        <w:t xml:space="preserve">is outlined </w:t>
      </w:r>
      <w:r w:rsidRPr="009A67AA">
        <w:rPr>
          <w:rFonts w:asciiTheme="minorHAnsi" w:hAnsiTheme="minorHAnsi" w:cstheme="minorHAnsi"/>
        </w:rPr>
        <w:t>in Figures 1 and 2. The main reason for article exclusion was a sample size of fewer than 100 patients</w:t>
      </w:r>
      <w:r w:rsidR="00933D61">
        <w:rPr>
          <w:rFonts w:asciiTheme="minorHAnsi" w:hAnsiTheme="minorHAnsi" w:cstheme="minorHAnsi"/>
        </w:rPr>
        <w:t>. In addition</w:t>
      </w:r>
      <w:r w:rsidR="00212676">
        <w:rPr>
          <w:rFonts w:asciiTheme="minorHAnsi" w:hAnsiTheme="minorHAnsi" w:cstheme="minorHAnsi"/>
        </w:rPr>
        <w:t xml:space="preserve">, </w:t>
      </w:r>
      <w:r w:rsidRPr="009A67AA">
        <w:rPr>
          <w:rFonts w:asciiTheme="minorHAnsi" w:hAnsiTheme="minorHAnsi" w:cstheme="minorHAnsi"/>
        </w:rPr>
        <w:t xml:space="preserve">case reports, review articles, guidelines and scientific abstracts were excluded. </w:t>
      </w:r>
    </w:p>
    <w:p w14:paraId="41E1A19A" w14:textId="081B4075" w:rsidR="00016A6E" w:rsidRPr="009A67AA" w:rsidRDefault="00016A6E" w:rsidP="00016A6E">
      <w:pPr>
        <w:spacing w:line="276" w:lineRule="auto"/>
        <w:rPr>
          <w:rFonts w:asciiTheme="minorHAnsi" w:hAnsiTheme="minorHAnsi" w:cstheme="minorHAnsi"/>
        </w:rPr>
      </w:pPr>
      <w:r>
        <w:rPr>
          <w:rFonts w:asciiTheme="minorHAnsi" w:hAnsiTheme="minorHAnsi" w:cstheme="minorHAnsi"/>
        </w:rPr>
        <w:t xml:space="preserve">A total of 235 studies were identified and screened, with eight articles meeting the inclusion criteria from MEDLINE and EMBASE [Figures 1 and 2]. Studies which did not evaluate OS and PFS or that included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w:t>
      </w:r>
      <w:r>
        <w:rPr>
          <w:rFonts w:asciiTheme="minorHAnsi" w:hAnsiTheme="minorHAnsi" w:cstheme="minorHAnsi"/>
          <w:color w:val="000000" w:themeColor="text1"/>
        </w:rPr>
        <w:t xml:space="preserve"> as the intervention, were excluded. During the selection process, two duplicate articles were identified in the EMBASE database following the initial MEDLINE extraction; </w:t>
      </w:r>
      <w:proofErr w:type="gramStart"/>
      <w:r w:rsidR="00212676">
        <w:rPr>
          <w:rFonts w:asciiTheme="minorHAnsi" w:hAnsiTheme="minorHAnsi" w:cstheme="minorHAnsi"/>
          <w:color w:val="000000" w:themeColor="text1"/>
        </w:rPr>
        <w:t>these</w:t>
      </w:r>
      <w:proofErr w:type="gramEnd"/>
      <w:r w:rsidR="00212676">
        <w:rPr>
          <w:rFonts w:asciiTheme="minorHAnsi" w:hAnsiTheme="minorHAnsi" w:cstheme="minorHAnsi"/>
          <w:color w:val="000000" w:themeColor="text1"/>
        </w:rPr>
        <w:t xml:space="preserve"> </w:t>
      </w:r>
      <w:r>
        <w:rPr>
          <w:rFonts w:asciiTheme="minorHAnsi" w:hAnsiTheme="minorHAnsi" w:cstheme="minorHAnsi"/>
          <w:color w:val="000000" w:themeColor="text1"/>
        </w:rPr>
        <w:t>therefore</w:t>
      </w:r>
      <w:r w:rsidR="003F46BE">
        <w:rPr>
          <w:rFonts w:asciiTheme="minorHAnsi" w:hAnsiTheme="minorHAnsi" w:cstheme="minorHAnsi"/>
          <w:color w:val="000000" w:themeColor="text1"/>
        </w:rPr>
        <w:t>,</w:t>
      </w:r>
      <w:r>
        <w:rPr>
          <w:rFonts w:asciiTheme="minorHAnsi" w:hAnsiTheme="minorHAnsi" w:cstheme="minorHAnsi"/>
          <w:color w:val="000000" w:themeColor="text1"/>
        </w:rPr>
        <w:t xml:space="preserve"> were disregarded from the total articles found.  </w:t>
      </w:r>
    </w:p>
    <w:p w14:paraId="08016AA3" w14:textId="77777777" w:rsidR="00016A6E" w:rsidRDefault="00016A6E" w:rsidP="00016A6E">
      <w:pPr>
        <w:rPr>
          <w:rFonts w:asciiTheme="minorHAnsi" w:hAnsiTheme="minorHAnsi" w:cstheme="minorHAnsi"/>
          <w:color w:val="000000" w:themeColor="text1"/>
        </w:rPr>
      </w:pPr>
    </w:p>
    <w:p w14:paraId="3964B2F3" w14:textId="1C18FCDF" w:rsidR="00016A6E" w:rsidRPr="00527E4E" w:rsidRDefault="00016A6E" w:rsidP="00016A6E">
      <w:pPr>
        <w:rPr>
          <w:rFonts w:asciiTheme="minorHAnsi" w:hAnsiTheme="minorHAnsi" w:cstheme="minorHAnsi"/>
          <w:i/>
          <w:iCs/>
          <w:color w:val="000000" w:themeColor="text1"/>
          <w:sz w:val="20"/>
          <w:szCs w:val="20"/>
        </w:rPr>
      </w:pPr>
      <w:r w:rsidRPr="00527E4E">
        <w:rPr>
          <w:rFonts w:asciiTheme="minorHAnsi" w:hAnsiTheme="minorHAnsi" w:cstheme="minorHAnsi"/>
          <w:i/>
          <w:iCs/>
          <w:color w:val="000000" w:themeColor="text1"/>
          <w:sz w:val="20"/>
          <w:szCs w:val="20"/>
        </w:rPr>
        <w:t xml:space="preserve">Figure </w:t>
      </w:r>
      <w:r>
        <w:rPr>
          <w:rFonts w:asciiTheme="minorHAnsi" w:hAnsiTheme="minorHAnsi" w:cstheme="minorHAnsi"/>
          <w:i/>
          <w:iCs/>
          <w:color w:val="000000" w:themeColor="text1"/>
          <w:sz w:val="20"/>
          <w:szCs w:val="20"/>
        </w:rPr>
        <w:t>1:</w:t>
      </w:r>
      <w:r w:rsidRPr="00527E4E">
        <w:rPr>
          <w:rFonts w:asciiTheme="minorHAnsi" w:hAnsiTheme="minorHAnsi" w:cstheme="minorHAnsi"/>
          <w:i/>
          <w:iCs/>
          <w:color w:val="000000" w:themeColor="text1"/>
          <w:sz w:val="20"/>
          <w:szCs w:val="20"/>
        </w:rPr>
        <w:t xml:space="preserve"> PRISMA flowchart for </w:t>
      </w:r>
      <w:r>
        <w:rPr>
          <w:rFonts w:asciiTheme="minorHAnsi" w:hAnsiTheme="minorHAnsi" w:cstheme="minorHAnsi"/>
          <w:i/>
          <w:iCs/>
          <w:color w:val="000000" w:themeColor="text1"/>
          <w:sz w:val="20"/>
          <w:szCs w:val="20"/>
        </w:rPr>
        <w:t>MEDLINE</w:t>
      </w:r>
      <w:r w:rsidRPr="00527E4E">
        <w:rPr>
          <w:rFonts w:asciiTheme="minorHAnsi" w:hAnsiTheme="minorHAnsi" w:cstheme="minorHAnsi"/>
          <w:i/>
          <w:iCs/>
          <w:color w:val="000000" w:themeColor="text1"/>
          <w:sz w:val="20"/>
          <w:szCs w:val="20"/>
        </w:rPr>
        <w:t xml:space="preserve"> </w:t>
      </w:r>
      <w:r>
        <w:rPr>
          <w:rFonts w:asciiTheme="minorHAnsi" w:hAnsiTheme="minorHAnsi" w:cstheme="minorHAnsi"/>
          <w:i/>
          <w:iCs/>
          <w:color w:val="000000" w:themeColor="text1"/>
          <w:sz w:val="20"/>
          <w:szCs w:val="20"/>
        </w:rPr>
        <w:t>search</w:t>
      </w:r>
    </w:p>
    <w:p w14:paraId="6731F5E8" w14:textId="05A9AE3D" w:rsidR="00016A6E" w:rsidRPr="006868B4" w:rsidRDefault="003F46BE" w:rsidP="00016A6E">
      <w:pPr>
        <w:rPr>
          <w:rFonts w:asciiTheme="minorHAnsi" w:hAnsiTheme="minorHAnsi" w:cstheme="minorHAnsi"/>
          <w:i/>
          <w:iCs/>
          <w:color w:val="000000" w:themeColor="text1"/>
          <w:sz w:val="16"/>
          <w:szCs w:val="16"/>
        </w:rPr>
      </w:pPr>
      <w:r w:rsidRPr="00527E4E">
        <w:rPr>
          <w:rFonts w:asciiTheme="minorHAnsi" w:hAnsiTheme="minorHAnsi" w:cstheme="minorHAnsi"/>
          <w:noProof/>
          <w:color w:val="000000" w:themeColor="text1"/>
          <w:sz w:val="28"/>
          <w:szCs w:val="28"/>
          <w14:ligatures w14:val="standardContextual"/>
        </w:rPr>
        <w:drawing>
          <wp:anchor distT="0" distB="0" distL="114300" distR="114300" simplePos="0" relativeHeight="251659264" behindDoc="1" locked="0" layoutInCell="1" allowOverlap="1" wp14:anchorId="63C69506" wp14:editId="73112DA1">
            <wp:simplePos x="0" y="0"/>
            <wp:positionH relativeFrom="column">
              <wp:posOffset>-85725</wp:posOffset>
            </wp:positionH>
            <wp:positionV relativeFrom="paragraph">
              <wp:posOffset>56515</wp:posOffset>
            </wp:positionV>
            <wp:extent cx="4230370" cy="4371975"/>
            <wp:effectExtent l="0" t="0" r="0" b="9525"/>
            <wp:wrapTight wrapText="bothSides">
              <wp:wrapPolygon edited="0">
                <wp:start x="0" y="0"/>
                <wp:lineTo x="0" y="21553"/>
                <wp:lineTo x="21496" y="21553"/>
                <wp:lineTo x="21496" y="0"/>
                <wp:lineTo x="0" y="0"/>
              </wp:wrapPolygon>
            </wp:wrapTight>
            <wp:docPr id="1885979609" name="Picture 1" descr="A flowchart of dat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979609" name="Picture 1" descr="A flowchart of data&#10;&#10;Description automatically generated"/>
                    <pic:cNvPicPr/>
                  </pic:nvPicPr>
                  <pic:blipFill rotWithShape="1">
                    <a:blip r:embed="rId7" cstate="print">
                      <a:extLst>
                        <a:ext uri="{28A0092B-C50C-407E-A947-70E740481C1C}">
                          <a14:useLocalDpi xmlns:a14="http://schemas.microsoft.com/office/drawing/2010/main" val="0"/>
                        </a:ext>
                      </a:extLst>
                    </a:blip>
                    <a:srcRect l="1913"/>
                    <a:stretch/>
                  </pic:blipFill>
                  <pic:spPr bwMode="auto">
                    <a:xfrm>
                      <a:off x="0" y="0"/>
                      <a:ext cx="4230370" cy="4371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B3B920" w14:textId="77777777" w:rsidR="00016A6E" w:rsidRPr="006868B4" w:rsidRDefault="00016A6E" w:rsidP="00016A6E">
      <w:pPr>
        <w:rPr>
          <w:rFonts w:asciiTheme="minorHAnsi" w:hAnsiTheme="minorHAnsi" w:cstheme="minorHAnsi"/>
          <w:i/>
          <w:iCs/>
          <w:color w:val="000000" w:themeColor="text1"/>
          <w:sz w:val="16"/>
          <w:szCs w:val="16"/>
        </w:rPr>
      </w:pPr>
    </w:p>
    <w:p w14:paraId="43D1AD0F" w14:textId="77777777" w:rsidR="00016A6E" w:rsidRPr="006868B4" w:rsidRDefault="00016A6E" w:rsidP="00016A6E">
      <w:pPr>
        <w:rPr>
          <w:rFonts w:asciiTheme="minorHAnsi" w:hAnsiTheme="minorHAnsi" w:cstheme="minorHAnsi"/>
          <w:i/>
          <w:iCs/>
          <w:color w:val="000000" w:themeColor="text1"/>
          <w:sz w:val="16"/>
          <w:szCs w:val="16"/>
        </w:rPr>
      </w:pPr>
    </w:p>
    <w:p w14:paraId="5DE8E746" w14:textId="77777777" w:rsidR="00016A6E" w:rsidRPr="006868B4" w:rsidRDefault="00016A6E" w:rsidP="00016A6E">
      <w:pPr>
        <w:rPr>
          <w:rFonts w:asciiTheme="minorHAnsi" w:hAnsiTheme="minorHAnsi" w:cstheme="minorHAnsi"/>
          <w:i/>
          <w:iCs/>
          <w:color w:val="000000" w:themeColor="text1"/>
          <w:sz w:val="16"/>
          <w:szCs w:val="16"/>
        </w:rPr>
      </w:pPr>
    </w:p>
    <w:p w14:paraId="4AFD5C91" w14:textId="77777777" w:rsidR="00016A6E" w:rsidRPr="006868B4" w:rsidRDefault="00016A6E" w:rsidP="00016A6E">
      <w:pPr>
        <w:rPr>
          <w:rFonts w:asciiTheme="minorHAnsi" w:hAnsiTheme="minorHAnsi" w:cstheme="minorHAnsi"/>
          <w:i/>
          <w:iCs/>
          <w:color w:val="000000" w:themeColor="text1"/>
          <w:sz w:val="16"/>
          <w:szCs w:val="16"/>
        </w:rPr>
      </w:pPr>
    </w:p>
    <w:p w14:paraId="74D51558" w14:textId="77777777" w:rsidR="00016A6E" w:rsidRPr="006868B4" w:rsidRDefault="00016A6E" w:rsidP="00016A6E">
      <w:pPr>
        <w:rPr>
          <w:rFonts w:asciiTheme="minorHAnsi" w:hAnsiTheme="minorHAnsi" w:cstheme="minorHAnsi"/>
          <w:i/>
          <w:iCs/>
          <w:color w:val="000000" w:themeColor="text1"/>
          <w:sz w:val="16"/>
          <w:szCs w:val="16"/>
        </w:rPr>
      </w:pPr>
    </w:p>
    <w:p w14:paraId="2DA0B5AC" w14:textId="77777777" w:rsidR="00016A6E" w:rsidRPr="006868B4" w:rsidRDefault="00016A6E" w:rsidP="00016A6E">
      <w:pPr>
        <w:rPr>
          <w:rFonts w:asciiTheme="minorHAnsi" w:hAnsiTheme="minorHAnsi" w:cstheme="minorHAnsi"/>
          <w:i/>
          <w:iCs/>
          <w:color w:val="000000" w:themeColor="text1"/>
          <w:sz w:val="16"/>
          <w:szCs w:val="16"/>
        </w:rPr>
      </w:pPr>
    </w:p>
    <w:p w14:paraId="0966661F" w14:textId="77777777" w:rsidR="00016A6E" w:rsidRPr="006868B4" w:rsidRDefault="00016A6E" w:rsidP="00016A6E">
      <w:pPr>
        <w:rPr>
          <w:rFonts w:asciiTheme="minorHAnsi" w:hAnsiTheme="minorHAnsi" w:cstheme="minorHAnsi"/>
          <w:i/>
          <w:iCs/>
          <w:color w:val="000000" w:themeColor="text1"/>
          <w:sz w:val="16"/>
          <w:szCs w:val="16"/>
        </w:rPr>
      </w:pPr>
    </w:p>
    <w:p w14:paraId="3868768C" w14:textId="77777777" w:rsidR="00016A6E" w:rsidRPr="006868B4" w:rsidRDefault="00016A6E" w:rsidP="00016A6E">
      <w:pPr>
        <w:rPr>
          <w:rFonts w:asciiTheme="minorHAnsi" w:hAnsiTheme="minorHAnsi" w:cstheme="minorHAnsi"/>
          <w:i/>
          <w:iCs/>
          <w:color w:val="000000" w:themeColor="text1"/>
          <w:sz w:val="16"/>
          <w:szCs w:val="16"/>
        </w:rPr>
      </w:pPr>
    </w:p>
    <w:p w14:paraId="1A98B70C" w14:textId="77777777" w:rsidR="00016A6E" w:rsidRPr="006868B4" w:rsidRDefault="00016A6E" w:rsidP="00016A6E">
      <w:pPr>
        <w:rPr>
          <w:rFonts w:asciiTheme="minorHAnsi" w:hAnsiTheme="minorHAnsi" w:cstheme="minorHAnsi"/>
          <w:i/>
          <w:iCs/>
          <w:color w:val="000000" w:themeColor="text1"/>
          <w:sz w:val="16"/>
          <w:szCs w:val="16"/>
        </w:rPr>
      </w:pPr>
    </w:p>
    <w:p w14:paraId="6FB30732" w14:textId="77777777" w:rsidR="00016A6E" w:rsidRPr="006868B4" w:rsidRDefault="00016A6E" w:rsidP="00016A6E">
      <w:pPr>
        <w:rPr>
          <w:rFonts w:asciiTheme="minorHAnsi" w:hAnsiTheme="minorHAnsi" w:cstheme="minorHAnsi"/>
          <w:i/>
          <w:iCs/>
          <w:color w:val="000000" w:themeColor="text1"/>
          <w:sz w:val="16"/>
          <w:szCs w:val="16"/>
        </w:rPr>
      </w:pPr>
    </w:p>
    <w:p w14:paraId="42280013" w14:textId="77777777" w:rsidR="00016A6E" w:rsidRPr="006868B4" w:rsidRDefault="00016A6E" w:rsidP="00016A6E">
      <w:pPr>
        <w:rPr>
          <w:rFonts w:asciiTheme="minorHAnsi" w:hAnsiTheme="minorHAnsi" w:cstheme="minorHAnsi"/>
          <w:i/>
          <w:iCs/>
          <w:color w:val="000000" w:themeColor="text1"/>
          <w:sz w:val="16"/>
          <w:szCs w:val="16"/>
        </w:rPr>
      </w:pPr>
    </w:p>
    <w:p w14:paraId="1397BCEF" w14:textId="77777777" w:rsidR="00016A6E" w:rsidRPr="006868B4" w:rsidRDefault="00016A6E" w:rsidP="00016A6E">
      <w:pPr>
        <w:rPr>
          <w:rFonts w:asciiTheme="minorHAnsi" w:hAnsiTheme="minorHAnsi" w:cstheme="minorHAnsi"/>
          <w:i/>
          <w:iCs/>
          <w:color w:val="000000" w:themeColor="text1"/>
          <w:sz w:val="16"/>
          <w:szCs w:val="16"/>
        </w:rPr>
      </w:pPr>
    </w:p>
    <w:p w14:paraId="3F37E31B" w14:textId="77777777" w:rsidR="00016A6E" w:rsidRPr="006868B4" w:rsidRDefault="00016A6E" w:rsidP="00016A6E">
      <w:pPr>
        <w:rPr>
          <w:rFonts w:asciiTheme="minorHAnsi" w:hAnsiTheme="minorHAnsi" w:cstheme="minorHAnsi"/>
          <w:i/>
          <w:iCs/>
          <w:color w:val="000000" w:themeColor="text1"/>
          <w:sz w:val="16"/>
          <w:szCs w:val="16"/>
        </w:rPr>
      </w:pPr>
    </w:p>
    <w:p w14:paraId="5E106B2F" w14:textId="77777777" w:rsidR="00016A6E" w:rsidRPr="006868B4" w:rsidRDefault="00016A6E" w:rsidP="00016A6E">
      <w:pPr>
        <w:rPr>
          <w:rFonts w:asciiTheme="minorHAnsi" w:hAnsiTheme="minorHAnsi" w:cstheme="minorHAnsi"/>
          <w:i/>
          <w:iCs/>
          <w:color w:val="000000" w:themeColor="text1"/>
          <w:sz w:val="16"/>
          <w:szCs w:val="16"/>
        </w:rPr>
      </w:pPr>
    </w:p>
    <w:p w14:paraId="36ECC4E3" w14:textId="77777777" w:rsidR="00016A6E" w:rsidRPr="006868B4" w:rsidRDefault="00016A6E" w:rsidP="00016A6E">
      <w:pPr>
        <w:rPr>
          <w:rFonts w:asciiTheme="minorHAnsi" w:hAnsiTheme="minorHAnsi" w:cstheme="minorHAnsi"/>
          <w:i/>
          <w:iCs/>
          <w:color w:val="000000" w:themeColor="text1"/>
          <w:sz w:val="16"/>
          <w:szCs w:val="16"/>
        </w:rPr>
      </w:pPr>
    </w:p>
    <w:p w14:paraId="344A1800" w14:textId="77777777" w:rsidR="00016A6E" w:rsidRPr="006868B4" w:rsidRDefault="00016A6E" w:rsidP="00016A6E">
      <w:pPr>
        <w:rPr>
          <w:rFonts w:asciiTheme="minorHAnsi" w:hAnsiTheme="minorHAnsi" w:cstheme="minorHAnsi"/>
          <w:i/>
          <w:iCs/>
          <w:color w:val="000000" w:themeColor="text1"/>
          <w:sz w:val="16"/>
          <w:szCs w:val="16"/>
        </w:rPr>
      </w:pPr>
    </w:p>
    <w:p w14:paraId="1987822F" w14:textId="77777777" w:rsidR="00016A6E" w:rsidRPr="006868B4" w:rsidRDefault="00016A6E" w:rsidP="00016A6E">
      <w:pPr>
        <w:rPr>
          <w:rFonts w:asciiTheme="minorHAnsi" w:hAnsiTheme="minorHAnsi" w:cstheme="minorHAnsi"/>
          <w:i/>
          <w:iCs/>
          <w:color w:val="000000" w:themeColor="text1"/>
          <w:sz w:val="16"/>
          <w:szCs w:val="16"/>
        </w:rPr>
      </w:pPr>
    </w:p>
    <w:p w14:paraId="7E99F1CE" w14:textId="77777777" w:rsidR="00016A6E" w:rsidRPr="006868B4" w:rsidRDefault="00016A6E" w:rsidP="00016A6E">
      <w:pPr>
        <w:rPr>
          <w:rFonts w:asciiTheme="minorHAnsi" w:hAnsiTheme="minorHAnsi" w:cstheme="minorHAnsi"/>
          <w:i/>
          <w:iCs/>
          <w:color w:val="000000" w:themeColor="text1"/>
          <w:sz w:val="16"/>
          <w:szCs w:val="16"/>
        </w:rPr>
      </w:pPr>
    </w:p>
    <w:p w14:paraId="72DE5688" w14:textId="77777777" w:rsidR="00016A6E" w:rsidRPr="006868B4" w:rsidRDefault="00016A6E" w:rsidP="00016A6E">
      <w:pPr>
        <w:rPr>
          <w:rFonts w:asciiTheme="minorHAnsi" w:hAnsiTheme="minorHAnsi" w:cstheme="minorHAnsi"/>
          <w:i/>
          <w:iCs/>
          <w:color w:val="000000" w:themeColor="text1"/>
          <w:sz w:val="16"/>
          <w:szCs w:val="16"/>
        </w:rPr>
      </w:pPr>
    </w:p>
    <w:p w14:paraId="56AA926C" w14:textId="77777777" w:rsidR="00016A6E" w:rsidRPr="006868B4" w:rsidRDefault="00016A6E" w:rsidP="00016A6E">
      <w:pPr>
        <w:rPr>
          <w:rFonts w:asciiTheme="minorHAnsi" w:hAnsiTheme="minorHAnsi" w:cstheme="minorHAnsi"/>
          <w:i/>
          <w:iCs/>
          <w:color w:val="000000" w:themeColor="text1"/>
          <w:sz w:val="16"/>
          <w:szCs w:val="16"/>
        </w:rPr>
      </w:pPr>
    </w:p>
    <w:p w14:paraId="68C00C2E" w14:textId="77777777" w:rsidR="00016A6E" w:rsidRPr="006868B4" w:rsidRDefault="00016A6E" w:rsidP="00016A6E">
      <w:pPr>
        <w:rPr>
          <w:rFonts w:asciiTheme="minorHAnsi" w:hAnsiTheme="minorHAnsi" w:cstheme="minorHAnsi"/>
          <w:i/>
          <w:iCs/>
          <w:color w:val="000000" w:themeColor="text1"/>
          <w:sz w:val="16"/>
          <w:szCs w:val="16"/>
        </w:rPr>
      </w:pPr>
    </w:p>
    <w:p w14:paraId="2AA01D79" w14:textId="77777777" w:rsidR="00016A6E" w:rsidRPr="006868B4" w:rsidRDefault="00016A6E" w:rsidP="00016A6E">
      <w:pPr>
        <w:rPr>
          <w:rFonts w:asciiTheme="minorHAnsi" w:hAnsiTheme="minorHAnsi" w:cstheme="minorHAnsi"/>
          <w:i/>
          <w:iCs/>
          <w:color w:val="000000" w:themeColor="text1"/>
          <w:sz w:val="16"/>
          <w:szCs w:val="16"/>
        </w:rPr>
      </w:pPr>
    </w:p>
    <w:p w14:paraId="5B977FD9" w14:textId="77777777" w:rsidR="00016A6E" w:rsidRPr="006868B4" w:rsidRDefault="00016A6E" w:rsidP="00016A6E">
      <w:pPr>
        <w:rPr>
          <w:rFonts w:asciiTheme="minorHAnsi" w:hAnsiTheme="minorHAnsi" w:cstheme="minorHAnsi"/>
          <w:i/>
          <w:iCs/>
          <w:color w:val="000000" w:themeColor="text1"/>
          <w:sz w:val="16"/>
          <w:szCs w:val="16"/>
        </w:rPr>
      </w:pPr>
    </w:p>
    <w:p w14:paraId="5E10A051" w14:textId="77777777" w:rsidR="00016A6E" w:rsidRPr="006868B4" w:rsidRDefault="00016A6E" w:rsidP="00016A6E">
      <w:pPr>
        <w:rPr>
          <w:rFonts w:asciiTheme="minorHAnsi" w:hAnsiTheme="minorHAnsi" w:cstheme="minorHAnsi"/>
          <w:i/>
          <w:iCs/>
          <w:color w:val="000000" w:themeColor="text1"/>
          <w:sz w:val="16"/>
          <w:szCs w:val="16"/>
        </w:rPr>
      </w:pPr>
    </w:p>
    <w:p w14:paraId="3EE32043" w14:textId="77777777" w:rsidR="00016A6E" w:rsidRPr="006868B4" w:rsidRDefault="00016A6E" w:rsidP="00016A6E">
      <w:pPr>
        <w:rPr>
          <w:rFonts w:asciiTheme="minorHAnsi" w:hAnsiTheme="minorHAnsi" w:cstheme="minorHAnsi"/>
          <w:i/>
          <w:iCs/>
          <w:color w:val="000000" w:themeColor="text1"/>
          <w:sz w:val="16"/>
          <w:szCs w:val="16"/>
        </w:rPr>
      </w:pPr>
    </w:p>
    <w:p w14:paraId="2A598634" w14:textId="77777777" w:rsidR="00016A6E" w:rsidRPr="006868B4" w:rsidRDefault="00016A6E" w:rsidP="00016A6E">
      <w:pPr>
        <w:rPr>
          <w:rFonts w:asciiTheme="minorHAnsi" w:hAnsiTheme="minorHAnsi" w:cstheme="minorHAnsi"/>
          <w:i/>
          <w:iCs/>
          <w:color w:val="000000" w:themeColor="text1"/>
          <w:sz w:val="16"/>
          <w:szCs w:val="16"/>
        </w:rPr>
      </w:pPr>
    </w:p>
    <w:p w14:paraId="477E46E4" w14:textId="77777777" w:rsidR="00016A6E" w:rsidRDefault="00016A6E" w:rsidP="00016A6E">
      <w:pPr>
        <w:jc w:val="both"/>
        <w:rPr>
          <w:rFonts w:asciiTheme="minorHAnsi" w:hAnsiTheme="minorHAnsi" w:cstheme="minorHAnsi"/>
          <w:i/>
          <w:iCs/>
          <w:color w:val="000000" w:themeColor="text1"/>
          <w:sz w:val="20"/>
          <w:szCs w:val="20"/>
        </w:rPr>
      </w:pPr>
    </w:p>
    <w:p w14:paraId="5272760A" w14:textId="77777777" w:rsidR="00016A6E" w:rsidRDefault="00016A6E" w:rsidP="00016A6E">
      <w:pPr>
        <w:jc w:val="both"/>
        <w:rPr>
          <w:rFonts w:asciiTheme="minorHAnsi" w:hAnsiTheme="minorHAnsi" w:cstheme="minorHAnsi"/>
          <w:i/>
          <w:iCs/>
          <w:color w:val="000000" w:themeColor="text1"/>
          <w:sz w:val="20"/>
          <w:szCs w:val="20"/>
        </w:rPr>
      </w:pPr>
    </w:p>
    <w:p w14:paraId="38ED608D" w14:textId="77777777" w:rsidR="003F46BE" w:rsidRDefault="003F46BE" w:rsidP="00016A6E">
      <w:pPr>
        <w:jc w:val="both"/>
        <w:rPr>
          <w:rFonts w:asciiTheme="minorHAnsi" w:hAnsiTheme="minorHAnsi" w:cstheme="minorHAnsi"/>
          <w:i/>
          <w:iCs/>
          <w:color w:val="000000" w:themeColor="text1"/>
          <w:sz w:val="20"/>
          <w:szCs w:val="20"/>
        </w:rPr>
      </w:pPr>
    </w:p>
    <w:p w14:paraId="6FEBA95B" w14:textId="77777777" w:rsidR="00197E58" w:rsidRDefault="00197E58" w:rsidP="00016A6E">
      <w:pPr>
        <w:jc w:val="both"/>
        <w:rPr>
          <w:rFonts w:asciiTheme="minorHAnsi" w:hAnsiTheme="minorHAnsi" w:cstheme="minorHAnsi"/>
          <w:i/>
          <w:iCs/>
          <w:color w:val="000000" w:themeColor="text1"/>
          <w:sz w:val="20"/>
          <w:szCs w:val="20"/>
        </w:rPr>
      </w:pPr>
    </w:p>
    <w:p w14:paraId="572AED78" w14:textId="77777777" w:rsidR="00197E58" w:rsidRDefault="00197E58" w:rsidP="00016A6E">
      <w:pPr>
        <w:jc w:val="both"/>
        <w:rPr>
          <w:rFonts w:asciiTheme="minorHAnsi" w:hAnsiTheme="minorHAnsi" w:cstheme="minorHAnsi"/>
          <w:i/>
          <w:iCs/>
          <w:color w:val="000000" w:themeColor="text1"/>
          <w:sz w:val="20"/>
          <w:szCs w:val="20"/>
        </w:rPr>
      </w:pPr>
    </w:p>
    <w:p w14:paraId="00BDE5EB" w14:textId="77777777" w:rsidR="00197E58" w:rsidRDefault="00197E58" w:rsidP="00016A6E">
      <w:pPr>
        <w:jc w:val="both"/>
        <w:rPr>
          <w:rFonts w:asciiTheme="minorHAnsi" w:hAnsiTheme="minorHAnsi" w:cstheme="minorHAnsi"/>
          <w:i/>
          <w:iCs/>
          <w:color w:val="000000" w:themeColor="text1"/>
          <w:sz w:val="20"/>
          <w:szCs w:val="20"/>
        </w:rPr>
      </w:pPr>
    </w:p>
    <w:p w14:paraId="3A950457" w14:textId="77777777" w:rsidR="00197E58" w:rsidRDefault="00197E58" w:rsidP="00016A6E">
      <w:pPr>
        <w:jc w:val="both"/>
        <w:rPr>
          <w:rFonts w:asciiTheme="minorHAnsi" w:hAnsiTheme="minorHAnsi" w:cstheme="minorHAnsi"/>
          <w:i/>
          <w:iCs/>
          <w:color w:val="000000" w:themeColor="text1"/>
          <w:sz w:val="20"/>
          <w:szCs w:val="20"/>
        </w:rPr>
      </w:pPr>
    </w:p>
    <w:p w14:paraId="4C045CC6" w14:textId="77777777" w:rsidR="00197E58" w:rsidRDefault="00197E58" w:rsidP="00016A6E">
      <w:pPr>
        <w:jc w:val="both"/>
        <w:rPr>
          <w:rFonts w:asciiTheme="minorHAnsi" w:hAnsiTheme="minorHAnsi" w:cstheme="minorHAnsi"/>
          <w:i/>
          <w:iCs/>
          <w:color w:val="000000" w:themeColor="text1"/>
          <w:sz w:val="20"/>
          <w:szCs w:val="20"/>
        </w:rPr>
      </w:pPr>
    </w:p>
    <w:p w14:paraId="56006C3D" w14:textId="77777777" w:rsidR="00197E58" w:rsidRDefault="00197E58" w:rsidP="00016A6E">
      <w:pPr>
        <w:jc w:val="both"/>
        <w:rPr>
          <w:rFonts w:asciiTheme="minorHAnsi" w:hAnsiTheme="minorHAnsi" w:cstheme="minorHAnsi"/>
          <w:i/>
          <w:iCs/>
          <w:color w:val="000000" w:themeColor="text1"/>
          <w:sz w:val="20"/>
          <w:szCs w:val="20"/>
        </w:rPr>
      </w:pPr>
    </w:p>
    <w:p w14:paraId="217B3068" w14:textId="77777777" w:rsidR="00197E58" w:rsidRDefault="00197E58" w:rsidP="00016A6E">
      <w:pPr>
        <w:jc w:val="both"/>
        <w:rPr>
          <w:rFonts w:asciiTheme="minorHAnsi" w:hAnsiTheme="minorHAnsi" w:cstheme="minorHAnsi"/>
          <w:i/>
          <w:iCs/>
          <w:color w:val="000000" w:themeColor="text1"/>
          <w:sz w:val="20"/>
          <w:szCs w:val="20"/>
        </w:rPr>
      </w:pPr>
    </w:p>
    <w:p w14:paraId="0C2735FA" w14:textId="69454529" w:rsidR="00016A6E" w:rsidRPr="00527E4E" w:rsidRDefault="00016A6E" w:rsidP="00016A6E">
      <w:pPr>
        <w:jc w:val="both"/>
        <w:rPr>
          <w:rFonts w:asciiTheme="minorHAnsi" w:hAnsiTheme="minorHAnsi" w:cstheme="minorHAnsi"/>
          <w:i/>
          <w:iCs/>
          <w:color w:val="000000" w:themeColor="text1"/>
          <w:sz w:val="20"/>
          <w:szCs w:val="20"/>
        </w:rPr>
      </w:pPr>
      <w:r w:rsidRPr="00527E4E">
        <w:rPr>
          <w:rFonts w:asciiTheme="minorHAnsi" w:hAnsiTheme="minorHAnsi" w:cstheme="minorHAnsi"/>
          <w:i/>
          <w:iCs/>
          <w:color w:val="000000" w:themeColor="text1"/>
          <w:sz w:val="20"/>
          <w:szCs w:val="20"/>
        </w:rPr>
        <w:lastRenderedPageBreak/>
        <w:t>Figure 2</w:t>
      </w:r>
      <w:r>
        <w:rPr>
          <w:rFonts w:asciiTheme="minorHAnsi" w:hAnsiTheme="minorHAnsi" w:cstheme="minorHAnsi"/>
          <w:i/>
          <w:iCs/>
          <w:color w:val="000000" w:themeColor="text1"/>
          <w:sz w:val="20"/>
          <w:szCs w:val="20"/>
        </w:rPr>
        <w:t>:</w:t>
      </w:r>
      <w:r w:rsidRPr="00527E4E">
        <w:rPr>
          <w:rFonts w:asciiTheme="minorHAnsi" w:hAnsiTheme="minorHAnsi" w:cstheme="minorHAnsi"/>
          <w:i/>
          <w:iCs/>
          <w:color w:val="000000" w:themeColor="text1"/>
          <w:sz w:val="20"/>
          <w:szCs w:val="20"/>
        </w:rPr>
        <w:t xml:space="preserve"> PRISMA flowchart for </w:t>
      </w:r>
      <w:r>
        <w:rPr>
          <w:rFonts w:asciiTheme="minorHAnsi" w:hAnsiTheme="minorHAnsi" w:cstheme="minorHAnsi"/>
          <w:i/>
          <w:iCs/>
          <w:color w:val="000000" w:themeColor="text1"/>
          <w:sz w:val="20"/>
          <w:szCs w:val="20"/>
        </w:rPr>
        <w:t>EMBASE</w:t>
      </w:r>
      <w:r w:rsidRPr="00527E4E">
        <w:rPr>
          <w:rFonts w:asciiTheme="minorHAnsi" w:hAnsiTheme="minorHAnsi" w:cstheme="minorHAnsi"/>
          <w:i/>
          <w:iCs/>
          <w:color w:val="000000" w:themeColor="text1"/>
          <w:sz w:val="20"/>
          <w:szCs w:val="20"/>
        </w:rPr>
        <w:t xml:space="preserve"> search </w:t>
      </w:r>
    </w:p>
    <w:p w14:paraId="574E7137" w14:textId="77777777" w:rsidR="00016A6E" w:rsidRPr="006868B4" w:rsidRDefault="00016A6E" w:rsidP="00016A6E">
      <w:pPr>
        <w:rPr>
          <w:rFonts w:asciiTheme="minorHAnsi" w:hAnsiTheme="minorHAnsi" w:cstheme="minorHAnsi"/>
          <w:color w:val="000000" w:themeColor="text1"/>
        </w:rPr>
      </w:pPr>
      <w:r w:rsidRPr="006868B4">
        <w:rPr>
          <w:rFonts w:asciiTheme="minorHAnsi" w:hAnsiTheme="minorHAnsi" w:cstheme="minorHAnsi"/>
          <w:i/>
          <w:iCs/>
          <w:noProof/>
          <w:color w:val="000000" w:themeColor="text1"/>
          <w14:ligatures w14:val="standardContextual"/>
        </w:rPr>
        <w:drawing>
          <wp:anchor distT="0" distB="0" distL="114300" distR="114300" simplePos="0" relativeHeight="251660288" behindDoc="1" locked="0" layoutInCell="1" allowOverlap="1" wp14:anchorId="1ACB2836" wp14:editId="1916EBB9">
            <wp:simplePos x="0" y="0"/>
            <wp:positionH relativeFrom="column">
              <wp:posOffset>-86360</wp:posOffset>
            </wp:positionH>
            <wp:positionV relativeFrom="paragraph">
              <wp:posOffset>85725</wp:posOffset>
            </wp:positionV>
            <wp:extent cx="4612640" cy="4467225"/>
            <wp:effectExtent l="0" t="0" r="0" b="9525"/>
            <wp:wrapSquare wrapText="bothSides"/>
            <wp:docPr id="661839070" name="Picture 2" descr="A flowchart of a research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39070" name="Picture 2" descr="A flowchart of a research process&#10;&#10;Description automatically generated"/>
                    <pic:cNvPicPr/>
                  </pic:nvPicPr>
                  <pic:blipFill rotWithShape="1">
                    <a:blip r:embed="rId8" cstate="print">
                      <a:extLst>
                        <a:ext uri="{28A0092B-C50C-407E-A947-70E740481C1C}">
                          <a14:useLocalDpi xmlns:a14="http://schemas.microsoft.com/office/drawing/2010/main" val="0"/>
                        </a:ext>
                      </a:extLst>
                    </a:blip>
                    <a:srcRect l="1872" r="-1"/>
                    <a:stretch/>
                  </pic:blipFill>
                  <pic:spPr bwMode="auto">
                    <a:xfrm>
                      <a:off x="0" y="0"/>
                      <a:ext cx="4612640" cy="446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5A2A10" w14:textId="77777777" w:rsidR="00016A6E" w:rsidRPr="006868B4" w:rsidRDefault="00016A6E" w:rsidP="00016A6E">
      <w:pPr>
        <w:rPr>
          <w:rFonts w:asciiTheme="minorHAnsi" w:hAnsiTheme="minorHAnsi" w:cstheme="minorHAnsi"/>
          <w:color w:val="000000" w:themeColor="text1"/>
          <w:u w:val="single"/>
        </w:rPr>
      </w:pPr>
    </w:p>
    <w:p w14:paraId="590C94E8" w14:textId="77777777" w:rsidR="00016A6E" w:rsidRPr="006868B4" w:rsidRDefault="00016A6E" w:rsidP="00016A6E">
      <w:pPr>
        <w:rPr>
          <w:rFonts w:asciiTheme="minorHAnsi" w:hAnsiTheme="minorHAnsi" w:cstheme="minorHAnsi"/>
          <w:color w:val="000000" w:themeColor="text1"/>
          <w:u w:val="single"/>
        </w:rPr>
      </w:pPr>
    </w:p>
    <w:p w14:paraId="52B9741A" w14:textId="77777777" w:rsidR="00016A6E" w:rsidRPr="006868B4" w:rsidRDefault="00016A6E" w:rsidP="00016A6E">
      <w:pPr>
        <w:rPr>
          <w:rFonts w:asciiTheme="minorHAnsi" w:hAnsiTheme="minorHAnsi" w:cstheme="minorHAnsi"/>
          <w:color w:val="000000" w:themeColor="text1"/>
          <w:u w:val="single"/>
        </w:rPr>
      </w:pPr>
    </w:p>
    <w:p w14:paraId="2FA7F1E6" w14:textId="77777777" w:rsidR="00016A6E" w:rsidRPr="006868B4" w:rsidRDefault="00016A6E" w:rsidP="00016A6E">
      <w:pPr>
        <w:rPr>
          <w:rFonts w:asciiTheme="minorHAnsi" w:hAnsiTheme="minorHAnsi" w:cstheme="minorHAnsi"/>
          <w:color w:val="000000" w:themeColor="text1"/>
          <w:u w:val="single"/>
        </w:rPr>
      </w:pPr>
    </w:p>
    <w:p w14:paraId="58F7BFF9" w14:textId="77777777" w:rsidR="00016A6E" w:rsidRPr="006868B4" w:rsidRDefault="00016A6E" w:rsidP="00016A6E">
      <w:pPr>
        <w:rPr>
          <w:rFonts w:asciiTheme="minorHAnsi" w:hAnsiTheme="minorHAnsi" w:cstheme="minorHAnsi"/>
          <w:color w:val="000000" w:themeColor="text1"/>
          <w:u w:val="single"/>
        </w:rPr>
      </w:pPr>
    </w:p>
    <w:p w14:paraId="338C8EDF" w14:textId="77777777" w:rsidR="00016A6E" w:rsidRPr="006868B4" w:rsidRDefault="00016A6E" w:rsidP="00016A6E">
      <w:pPr>
        <w:rPr>
          <w:rFonts w:asciiTheme="minorHAnsi" w:hAnsiTheme="minorHAnsi" w:cstheme="minorHAnsi"/>
          <w:color w:val="000000" w:themeColor="text1"/>
          <w:u w:val="single"/>
        </w:rPr>
      </w:pPr>
    </w:p>
    <w:p w14:paraId="3251CB91" w14:textId="77777777" w:rsidR="00016A6E" w:rsidRPr="006868B4" w:rsidRDefault="00016A6E" w:rsidP="00016A6E">
      <w:pPr>
        <w:rPr>
          <w:rFonts w:asciiTheme="minorHAnsi" w:hAnsiTheme="minorHAnsi" w:cstheme="minorHAnsi"/>
          <w:color w:val="000000" w:themeColor="text1"/>
          <w:u w:val="single"/>
        </w:rPr>
      </w:pPr>
    </w:p>
    <w:p w14:paraId="06FB4941" w14:textId="77777777" w:rsidR="00016A6E" w:rsidRPr="006868B4" w:rsidRDefault="00016A6E" w:rsidP="00016A6E">
      <w:pPr>
        <w:rPr>
          <w:rFonts w:asciiTheme="minorHAnsi" w:hAnsiTheme="minorHAnsi" w:cstheme="minorHAnsi"/>
          <w:color w:val="000000" w:themeColor="text1"/>
          <w:u w:val="single"/>
        </w:rPr>
      </w:pPr>
    </w:p>
    <w:p w14:paraId="7135F257" w14:textId="77777777" w:rsidR="00016A6E" w:rsidRPr="006868B4" w:rsidRDefault="00016A6E" w:rsidP="00016A6E">
      <w:pPr>
        <w:rPr>
          <w:rFonts w:asciiTheme="minorHAnsi" w:hAnsiTheme="minorHAnsi" w:cstheme="minorHAnsi"/>
          <w:color w:val="000000" w:themeColor="text1"/>
          <w:u w:val="single"/>
        </w:rPr>
      </w:pPr>
    </w:p>
    <w:p w14:paraId="3D9EE87E" w14:textId="77777777" w:rsidR="00016A6E" w:rsidRPr="006868B4" w:rsidRDefault="00016A6E" w:rsidP="00016A6E">
      <w:pPr>
        <w:rPr>
          <w:rFonts w:asciiTheme="minorHAnsi" w:hAnsiTheme="minorHAnsi" w:cstheme="minorHAnsi"/>
          <w:color w:val="000000" w:themeColor="text1"/>
          <w:u w:val="single"/>
        </w:rPr>
      </w:pPr>
    </w:p>
    <w:p w14:paraId="144A1167" w14:textId="77777777" w:rsidR="00016A6E" w:rsidRPr="006868B4" w:rsidRDefault="00016A6E" w:rsidP="00016A6E">
      <w:pPr>
        <w:rPr>
          <w:rFonts w:asciiTheme="minorHAnsi" w:hAnsiTheme="minorHAnsi" w:cstheme="minorHAnsi"/>
          <w:color w:val="000000" w:themeColor="text1"/>
          <w:u w:val="single"/>
        </w:rPr>
      </w:pPr>
    </w:p>
    <w:p w14:paraId="788A57E8" w14:textId="77777777" w:rsidR="00016A6E" w:rsidRPr="006868B4" w:rsidRDefault="00016A6E" w:rsidP="00016A6E">
      <w:pPr>
        <w:rPr>
          <w:rFonts w:asciiTheme="minorHAnsi" w:hAnsiTheme="minorHAnsi" w:cstheme="minorHAnsi"/>
          <w:color w:val="000000" w:themeColor="text1"/>
          <w:u w:val="single"/>
        </w:rPr>
      </w:pPr>
    </w:p>
    <w:p w14:paraId="6E5B6806" w14:textId="77777777" w:rsidR="00016A6E" w:rsidRPr="006868B4" w:rsidRDefault="00016A6E" w:rsidP="00016A6E">
      <w:pPr>
        <w:rPr>
          <w:rFonts w:asciiTheme="minorHAnsi" w:hAnsiTheme="minorHAnsi" w:cstheme="minorHAnsi"/>
          <w:color w:val="000000" w:themeColor="text1"/>
          <w:u w:val="single"/>
        </w:rPr>
      </w:pPr>
    </w:p>
    <w:p w14:paraId="43B29B0D" w14:textId="77777777" w:rsidR="00016A6E" w:rsidRPr="006868B4" w:rsidRDefault="00016A6E" w:rsidP="00016A6E">
      <w:pPr>
        <w:rPr>
          <w:rFonts w:asciiTheme="minorHAnsi" w:hAnsiTheme="minorHAnsi" w:cstheme="minorHAnsi"/>
          <w:color w:val="000000" w:themeColor="text1"/>
          <w:u w:val="single"/>
        </w:rPr>
      </w:pPr>
    </w:p>
    <w:p w14:paraId="35F318B7" w14:textId="77777777" w:rsidR="00016A6E" w:rsidRPr="006868B4" w:rsidRDefault="00016A6E" w:rsidP="00016A6E">
      <w:pPr>
        <w:rPr>
          <w:rFonts w:asciiTheme="minorHAnsi" w:hAnsiTheme="minorHAnsi" w:cstheme="minorHAnsi"/>
          <w:color w:val="000000" w:themeColor="text1"/>
          <w:u w:val="single"/>
        </w:rPr>
      </w:pPr>
    </w:p>
    <w:p w14:paraId="4A07F9E6" w14:textId="77777777" w:rsidR="00016A6E" w:rsidRPr="006868B4" w:rsidRDefault="00016A6E" w:rsidP="00016A6E">
      <w:pPr>
        <w:rPr>
          <w:rFonts w:asciiTheme="minorHAnsi" w:hAnsiTheme="minorHAnsi" w:cstheme="minorHAnsi"/>
          <w:color w:val="000000" w:themeColor="text1"/>
          <w:u w:val="single"/>
        </w:rPr>
      </w:pPr>
    </w:p>
    <w:p w14:paraId="2F0AC918" w14:textId="77777777" w:rsidR="00016A6E" w:rsidRPr="006868B4" w:rsidRDefault="00016A6E" w:rsidP="00016A6E">
      <w:pPr>
        <w:rPr>
          <w:rFonts w:asciiTheme="minorHAnsi" w:hAnsiTheme="minorHAnsi" w:cstheme="minorHAnsi"/>
          <w:color w:val="000000" w:themeColor="text1"/>
          <w:u w:val="single"/>
        </w:rPr>
      </w:pPr>
    </w:p>
    <w:p w14:paraId="4BD15DB5" w14:textId="77777777" w:rsidR="00016A6E" w:rsidRPr="006868B4" w:rsidRDefault="00016A6E" w:rsidP="00016A6E">
      <w:pPr>
        <w:rPr>
          <w:rFonts w:asciiTheme="minorHAnsi" w:hAnsiTheme="minorHAnsi" w:cstheme="minorHAnsi"/>
          <w:b/>
          <w:bCs/>
          <w:color w:val="000000" w:themeColor="text1"/>
          <w:sz w:val="22"/>
          <w:szCs w:val="22"/>
        </w:rPr>
        <w:sectPr w:rsidR="00016A6E" w:rsidRPr="006868B4" w:rsidSect="00714D18">
          <w:footerReference w:type="even" r:id="rId9"/>
          <w:footerReference w:type="default" r:id="rId10"/>
          <w:pgSz w:w="11906" w:h="16838"/>
          <w:pgMar w:top="1440" w:right="1440" w:bottom="1440" w:left="1440" w:header="708" w:footer="708" w:gutter="0"/>
          <w:pgNumType w:start="1"/>
          <w:cols w:space="708"/>
          <w:titlePg/>
          <w:docGrid w:linePitch="360"/>
        </w:sectPr>
      </w:pPr>
    </w:p>
    <w:p w14:paraId="3A04C73D" w14:textId="77777777" w:rsidR="00016A6E" w:rsidRPr="006868B4" w:rsidRDefault="00016A6E" w:rsidP="00016A6E">
      <w:pPr>
        <w:spacing w:line="276" w:lineRule="auto"/>
        <w:rPr>
          <w:rFonts w:asciiTheme="minorHAnsi" w:hAnsiTheme="minorHAnsi" w:cstheme="minorHAnsi"/>
          <w:i/>
          <w:iCs/>
          <w:color w:val="000000" w:themeColor="text1"/>
          <w:sz w:val="18"/>
          <w:szCs w:val="18"/>
        </w:rPr>
      </w:pPr>
      <w:r w:rsidRPr="00527E4E">
        <w:rPr>
          <w:rFonts w:asciiTheme="minorHAnsi" w:hAnsiTheme="minorHAnsi" w:cstheme="minorHAnsi"/>
          <w:i/>
          <w:iCs/>
          <w:color w:val="000000" w:themeColor="text1"/>
          <w:sz w:val="20"/>
          <w:szCs w:val="20"/>
        </w:rPr>
        <w:lastRenderedPageBreak/>
        <w:t xml:space="preserve">Table </w:t>
      </w:r>
      <w:r>
        <w:rPr>
          <w:rFonts w:asciiTheme="minorHAnsi" w:hAnsiTheme="minorHAnsi" w:cstheme="minorHAnsi"/>
          <w:i/>
          <w:iCs/>
          <w:color w:val="000000" w:themeColor="text1"/>
          <w:sz w:val="20"/>
          <w:szCs w:val="20"/>
        </w:rPr>
        <w:t>5:</w:t>
      </w:r>
      <w:r w:rsidRPr="00527E4E">
        <w:rPr>
          <w:rFonts w:asciiTheme="minorHAnsi" w:hAnsiTheme="minorHAnsi" w:cstheme="minorHAnsi"/>
          <w:i/>
          <w:iCs/>
          <w:color w:val="000000" w:themeColor="text1"/>
          <w:sz w:val="20"/>
          <w:szCs w:val="20"/>
        </w:rPr>
        <w:t xml:space="preserve"> Summary table of the </w:t>
      </w:r>
      <w:r>
        <w:rPr>
          <w:rFonts w:asciiTheme="minorHAnsi" w:hAnsiTheme="minorHAnsi" w:cstheme="minorHAnsi"/>
          <w:i/>
          <w:iCs/>
          <w:color w:val="000000" w:themeColor="text1"/>
          <w:sz w:val="20"/>
          <w:szCs w:val="20"/>
        </w:rPr>
        <w:t>articles</w:t>
      </w:r>
      <w:r w:rsidRPr="00527E4E">
        <w:rPr>
          <w:rFonts w:asciiTheme="minorHAnsi" w:hAnsiTheme="minorHAnsi" w:cstheme="minorHAnsi"/>
          <w:i/>
          <w:iCs/>
          <w:color w:val="000000" w:themeColor="text1"/>
          <w:sz w:val="20"/>
          <w:szCs w:val="20"/>
        </w:rPr>
        <w:t xml:space="preserve"> included in the </w:t>
      </w:r>
      <w:r>
        <w:rPr>
          <w:rFonts w:asciiTheme="minorHAnsi" w:hAnsiTheme="minorHAnsi" w:cstheme="minorHAnsi"/>
          <w:i/>
          <w:iCs/>
          <w:color w:val="000000" w:themeColor="text1"/>
          <w:sz w:val="20"/>
          <w:szCs w:val="20"/>
        </w:rPr>
        <w:t xml:space="preserve">review </w:t>
      </w:r>
      <w:r w:rsidRPr="00527E4E">
        <w:rPr>
          <w:rFonts w:asciiTheme="minorHAnsi" w:hAnsiTheme="minorHAnsi" w:cstheme="minorHAnsi"/>
          <w:i/>
          <w:iCs/>
          <w:color w:val="000000" w:themeColor="text1"/>
          <w:sz w:val="20"/>
          <w:szCs w:val="20"/>
        </w:rPr>
        <w:t>analysis</w:t>
      </w:r>
    </w:p>
    <w:tbl>
      <w:tblPr>
        <w:tblStyle w:val="TableGrid"/>
        <w:tblW w:w="14743" w:type="dxa"/>
        <w:tblInd w:w="-431" w:type="dxa"/>
        <w:tblLook w:val="04A0" w:firstRow="1" w:lastRow="0" w:firstColumn="1" w:lastColumn="0" w:noHBand="0" w:noVBand="1"/>
      </w:tblPr>
      <w:tblGrid>
        <w:gridCol w:w="2127"/>
        <w:gridCol w:w="1418"/>
        <w:gridCol w:w="2410"/>
        <w:gridCol w:w="1984"/>
        <w:gridCol w:w="1701"/>
        <w:gridCol w:w="2410"/>
        <w:gridCol w:w="2693"/>
      </w:tblGrid>
      <w:tr w:rsidR="00016A6E" w:rsidRPr="006868B4" w14:paraId="4AA33574" w14:textId="77777777" w:rsidTr="005F54BD">
        <w:trPr>
          <w:cantSplit/>
          <w:trHeight w:val="164"/>
          <w:tblHeader/>
        </w:trPr>
        <w:tc>
          <w:tcPr>
            <w:tcW w:w="2127" w:type="dxa"/>
            <w:shd w:val="clear" w:color="auto" w:fill="B4C6E7" w:themeFill="accent1" w:themeFillTint="66"/>
          </w:tcPr>
          <w:p w14:paraId="645C4ADF"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Study ID</w:t>
            </w:r>
            <w:r>
              <w:rPr>
                <w:rFonts w:asciiTheme="minorHAnsi" w:hAnsiTheme="minorHAnsi" w:cstheme="minorHAnsi"/>
                <w:color w:val="000000" w:themeColor="text1"/>
                <w:sz w:val="20"/>
                <w:szCs w:val="20"/>
              </w:rPr>
              <w:t xml:space="preserve"> and country of origin </w:t>
            </w:r>
          </w:p>
        </w:tc>
        <w:tc>
          <w:tcPr>
            <w:tcW w:w="1418" w:type="dxa"/>
            <w:shd w:val="clear" w:color="auto" w:fill="B4C6E7" w:themeFill="accent1" w:themeFillTint="66"/>
          </w:tcPr>
          <w:p w14:paraId="43B13370"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Research</w:t>
            </w:r>
            <w:r w:rsidRPr="006868B4">
              <w:rPr>
                <w:rFonts w:asciiTheme="minorHAnsi" w:hAnsiTheme="minorHAnsi" w:cstheme="minorHAnsi"/>
                <w:color w:val="000000" w:themeColor="text1"/>
                <w:sz w:val="20"/>
                <w:szCs w:val="20"/>
              </w:rPr>
              <w:t xml:space="preserve"> design</w:t>
            </w:r>
          </w:p>
        </w:tc>
        <w:tc>
          <w:tcPr>
            <w:tcW w:w="2410" w:type="dxa"/>
            <w:shd w:val="clear" w:color="auto" w:fill="B4C6E7" w:themeFill="accent1" w:themeFillTint="66"/>
          </w:tcPr>
          <w:p w14:paraId="000F3525"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Participants</w:t>
            </w:r>
          </w:p>
        </w:tc>
        <w:tc>
          <w:tcPr>
            <w:tcW w:w="1984" w:type="dxa"/>
            <w:shd w:val="clear" w:color="auto" w:fill="B4C6E7" w:themeFill="accent1" w:themeFillTint="66"/>
          </w:tcPr>
          <w:p w14:paraId="62767DA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Intervention details</w:t>
            </w:r>
          </w:p>
        </w:tc>
        <w:tc>
          <w:tcPr>
            <w:tcW w:w="1701" w:type="dxa"/>
            <w:shd w:val="clear" w:color="auto" w:fill="B4C6E7" w:themeFill="accent1" w:themeFillTint="66"/>
          </w:tcPr>
          <w:p w14:paraId="76BFEFEC"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Outcome measures</w:t>
            </w:r>
          </w:p>
        </w:tc>
        <w:tc>
          <w:tcPr>
            <w:tcW w:w="2410" w:type="dxa"/>
            <w:shd w:val="clear" w:color="auto" w:fill="B4C6E7" w:themeFill="accent1" w:themeFillTint="66"/>
          </w:tcPr>
          <w:p w14:paraId="3C64204E"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Key results</w:t>
            </w:r>
          </w:p>
        </w:tc>
        <w:tc>
          <w:tcPr>
            <w:tcW w:w="2693" w:type="dxa"/>
            <w:shd w:val="clear" w:color="auto" w:fill="B4C6E7" w:themeFill="accent1" w:themeFillTint="66"/>
          </w:tcPr>
          <w:p w14:paraId="683815A4"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Critique notes </w:t>
            </w:r>
          </w:p>
        </w:tc>
      </w:tr>
      <w:tr w:rsidR="00016A6E" w:rsidRPr="006868B4" w14:paraId="4A369C96" w14:textId="77777777" w:rsidTr="005F54BD">
        <w:trPr>
          <w:cantSplit/>
          <w:trHeight w:val="3672"/>
        </w:trPr>
        <w:tc>
          <w:tcPr>
            <w:tcW w:w="2127" w:type="dxa"/>
          </w:tcPr>
          <w:p w14:paraId="72468D29" w14:textId="77777777" w:rsidR="00016A6E" w:rsidRPr="00A5450A" w:rsidRDefault="00016A6E" w:rsidP="005F54BD">
            <w:pPr>
              <w:spacing w:line="276" w:lineRule="auto"/>
              <w:rPr>
                <w:rFonts w:asciiTheme="minorHAnsi" w:hAnsiTheme="minorHAnsi" w:cstheme="minorHAnsi"/>
                <w:color w:val="000000" w:themeColor="text1"/>
                <w:sz w:val="20"/>
                <w:szCs w:val="20"/>
              </w:rPr>
            </w:pPr>
            <w:r w:rsidRPr="00A5450A">
              <w:rPr>
                <w:rFonts w:asciiTheme="minorHAnsi" w:hAnsiTheme="minorHAnsi" w:cstheme="minorHAnsi"/>
                <w:color w:val="000000" w:themeColor="text1"/>
                <w:sz w:val="20"/>
                <w:szCs w:val="20"/>
              </w:rPr>
              <w:t xml:space="preserve">Alsadik et </w:t>
            </w:r>
            <w:r>
              <w:rPr>
                <w:rFonts w:asciiTheme="minorHAnsi" w:hAnsiTheme="minorHAnsi" w:cstheme="minorHAnsi"/>
                <w:color w:val="000000" w:themeColor="text1"/>
                <w:sz w:val="20"/>
                <w:szCs w:val="20"/>
              </w:rPr>
              <w:t xml:space="preserve">al. 2022 </w:t>
            </w:r>
            <w:r>
              <w:rPr>
                <w:rFonts w:asciiTheme="minorHAnsi" w:hAnsiTheme="minorHAnsi" w:cstheme="minorHAnsi"/>
                <w:color w:val="000000" w:themeColor="text1"/>
                <w:sz w:val="20"/>
                <w:szCs w:val="20"/>
                <w:vertAlign w:val="superscript"/>
              </w:rPr>
              <w:t>(1)</w:t>
            </w:r>
          </w:p>
          <w:p w14:paraId="17A25EED" w14:textId="77777777" w:rsidR="00016A6E" w:rsidRDefault="00016A6E" w:rsidP="005F54BD">
            <w:pPr>
              <w:spacing w:line="276" w:lineRule="auto"/>
              <w:rPr>
                <w:rFonts w:asciiTheme="minorHAnsi" w:hAnsiTheme="minorHAnsi" w:cstheme="minorHAnsi"/>
                <w:color w:val="000000" w:themeColor="text1"/>
                <w:sz w:val="20"/>
                <w:szCs w:val="20"/>
              </w:rPr>
            </w:pPr>
          </w:p>
          <w:p w14:paraId="4B20557B"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Not specified </w:t>
            </w:r>
          </w:p>
        </w:tc>
        <w:tc>
          <w:tcPr>
            <w:tcW w:w="1418" w:type="dxa"/>
          </w:tcPr>
          <w:p w14:paraId="327C300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Retrospective cohort study</w:t>
            </w:r>
          </w:p>
        </w:tc>
        <w:tc>
          <w:tcPr>
            <w:tcW w:w="2410" w:type="dxa"/>
          </w:tcPr>
          <w:p w14:paraId="614BE019"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Total</w:t>
            </w:r>
            <w:r>
              <w:rPr>
                <w:rFonts w:asciiTheme="minorHAnsi" w:hAnsiTheme="minorHAnsi" w:cstheme="minorHAnsi"/>
                <w:color w:val="000000" w:themeColor="text1"/>
                <w:sz w:val="20"/>
                <w:szCs w:val="20"/>
              </w:rPr>
              <w:t xml:space="preserve"> sample size</w:t>
            </w:r>
            <w:r w:rsidRPr="006868B4">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N</w:t>
            </w:r>
            <w:r w:rsidRPr="006868B4">
              <w:rPr>
                <w:rFonts w:asciiTheme="minorHAnsi" w:hAnsiTheme="minorHAnsi" w:cstheme="minorHAnsi"/>
                <w:color w:val="000000" w:themeColor="text1"/>
                <w:sz w:val="20"/>
                <w:szCs w:val="20"/>
              </w:rPr>
              <w:t xml:space="preserve"> = 395</w:t>
            </w:r>
          </w:p>
          <w:p w14:paraId="36E11193"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736BFCD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Bronchial (n = 21)</w:t>
            </w:r>
          </w:p>
          <w:p w14:paraId="10D05034"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Hindgut (n = 14)</w:t>
            </w:r>
          </w:p>
          <w:p w14:paraId="22A18B12"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Midgut (n =229)</w:t>
            </w:r>
          </w:p>
          <w:p w14:paraId="2A610383"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Other (n = 20)</w:t>
            </w:r>
          </w:p>
          <w:p w14:paraId="66D0877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Pancreatic (n = 78)</w:t>
            </w:r>
          </w:p>
          <w:p w14:paraId="68EAAA83"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Paraganglioma/ Phaeochromocytoma (n = 11)</w:t>
            </w:r>
          </w:p>
          <w:p w14:paraId="0D9C5735"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Unknown primary (n = 22)</w:t>
            </w:r>
          </w:p>
        </w:tc>
        <w:tc>
          <w:tcPr>
            <w:tcW w:w="1984" w:type="dxa"/>
          </w:tcPr>
          <w:p w14:paraId="41CA4A25"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Intervention: </w:t>
            </w: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Lu-DOTATATE</w:t>
            </w:r>
          </w:p>
          <w:p w14:paraId="088B48A2"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Dose per cycle: average activity 7.477 GBq </w:t>
            </w:r>
          </w:p>
          <w:p w14:paraId="626E2480"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Number of cycles: 4</w:t>
            </w:r>
          </w:p>
          <w:p w14:paraId="367B1E70"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Total dose: 29.908 GBq</w:t>
            </w:r>
          </w:p>
          <w:p w14:paraId="2C4B83A8" w14:textId="77777777" w:rsidR="00016A6E"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Interval between each cycle: 10-12 weeks </w:t>
            </w:r>
          </w:p>
          <w:p w14:paraId="68069D1E" w14:textId="77777777" w:rsidR="00016A6E" w:rsidRDefault="00016A6E" w:rsidP="005F54BD">
            <w:pPr>
              <w:spacing w:line="276" w:lineRule="auto"/>
              <w:rPr>
                <w:rFonts w:asciiTheme="minorHAnsi" w:hAnsiTheme="minorHAnsi" w:cstheme="minorHAnsi"/>
                <w:color w:val="000000" w:themeColor="text1"/>
                <w:sz w:val="20"/>
                <w:szCs w:val="20"/>
              </w:rPr>
            </w:pPr>
          </w:p>
          <w:p w14:paraId="60C686FA"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Control: none </w:t>
            </w:r>
          </w:p>
          <w:p w14:paraId="3B35010F" w14:textId="77777777" w:rsidR="00016A6E" w:rsidRPr="006868B4" w:rsidRDefault="00016A6E" w:rsidP="005F54BD">
            <w:pPr>
              <w:spacing w:line="276" w:lineRule="auto"/>
              <w:rPr>
                <w:rFonts w:asciiTheme="minorHAnsi" w:hAnsiTheme="minorHAnsi" w:cstheme="minorHAnsi"/>
                <w:color w:val="000000" w:themeColor="text1"/>
                <w:sz w:val="20"/>
                <w:szCs w:val="20"/>
              </w:rPr>
            </w:pPr>
          </w:p>
        </w:tc>
        <w:tc>
          <w:tcPr>
            <w:tcW w:w="1701" w:type="dxa"/>
          </w:tcPr>
          <w:p w14:paraId="7B7666E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Primary endpoint: median PFS [months] and median OS [months]</w:t>
            </w:r>
          </w:p>
        </w:tc>
        <w:tc>
          <w:tcPr>
            <w:tcW w:w="2410" w:type="dxa"/>
          </w:tcPr>
          <w:p w14:paraId="08578112"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PFS [in months]</w:t>
            </w:r>
            <w:r>
              <w:rPr>
                <w:rFonts w:asciiTheme="minorHAnsi" w:hAnsiTheme="minorHAnsi" w:cstheme="minorHAnsi"/>
                <w:color w:val="000000" w:themeColor="text1"/>
                <w:sz w:val="20"/>
                <w:szCs w:val="20"/>
              </w:rPr>
              <w:t>:</w:t>
            </w:r>
          </w:p>
          <w:p w14:paraId="1FFF4377"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Bronchial: 29</w:t>
            </w:r>
          </w:p>
          <w:p w14:paraId="1ECC015A"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Hindgut: 41</w:t>
            </w:r>
          </w:p>
          <w:p w14:paraId="135C9A5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Midgut: 36 </w:t>
            </w:r>
          </w:p>
          <w:p w14:paraId="629A8BE5"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Others: 41</w:t>
            </w:r>
          </w:p>
          <w:p w14:paraId="5DF5AD2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Pancreatic: 26</w:t>
            </w:r>
          </w:p>
          <w:p w14:paraId="35018126"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PPGL: 23</w:t>
            </w:r>
          </w:p>
          <w:p w14:paraId="15C45491"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Unknown origin: 35</w:t>
            </w:r>
          </w:p>
          <w:p w14:paraId="27ECF646"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Overall: 33</w:t>
            </w:r>
          </w:p>
          <w:p w14:paraId="48B0ACBA"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3CDF387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OS [in months]</w:t>
            </w:r>
            <w:r>
              <w:rPr>
                <w:rFonts w:asciiTheme="minorHAnsi" w:hAnsiTheme="minorHAnsi" w:cstheme="minorHAnsi"/>
                <w:color w:val="000000" w:themeColor="text1"/>
                <w:sz w:val="20"/>
                <w:szCs w:val="20"/>
              </w:rPr>
              <w:t>:</w:t>
            </w:r>
          </w:p>
          <w:p w14:paraId="5A86A983"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Bronchial: 59 </w:t>
            </w:r>
          </w:p>
          <w:p w14:paraId="7B21F6D4"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Hindgut: 50</w:t>
            </w:r>
          </w:p>
          <w:p w14:paraId="610726F6"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Midgut: 47</w:t>
            </w:r>
          </w:p>
          <w:p w14:paraId="6A6EA69F"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Others: 39</w:t>
            </w:r>
          </w:p>
          <w:p w14:paraId="31FB1A3F"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Pancreatic: 50</w:t>
            </w:r>
          </w:p>
          <w:p w14:paraId="092ABFBA"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PPGL: 44</w:t>
            </w:r>
          </w:p>
          <w:p w14:paraId="4809F812" w14:textId="77777777" w:rsidR="00016A6E"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Unknown origin: 39</w:t>
            </w:r>
          </w:p>
          <w:p w14:paraId="417E988A"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Overall: 46 </w:t>
            </w:r>
          </w:p>
        </w:tc>
        <w:tc>
          <w:tcPr>
            <w:tcW w:w="2693" w:type="dxa"/>
          </w:tcPr>
          <w:p w14:paraId="30AEC358"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Study design: non-randomised </w:t>
            </w:r>
            <w:r>
              <w:rPr>
                <w:rFonts w:asciiTheme="minorHAnsi" w:hAnsiTheme="minorHAnsi" w:cstheme="minorHAnsi"/>
                <w:color w:val="000000" w:themeColor="text1"/>
                <w:sz w:val="20"/>
                <w:szCs w:val="20"/>
              </w:rPr>
              <w:t>retrospective design</w:t>
            </w:r>
            <w:r w:rsidRPr="006868B4">
              <w:rPr>
                <w:rFonts w:asciiTheme="minorHAnsi" w:hAnsiTheme="minorHAnsi" w:cstheme="minorHAnsi"/>
                <w:color w:val="000000" w:themeColor="text1"/>
                <w:sz w:val="20"/>
                <w:szCs w:val="20"/>
              </w:rPr>
              <w:t xml:space="preserve">, which analysed pre-existing data, leading to the risk of bias </w:t>
            </w:r>
          </w:p>
          <w:p w14:paraId="3B88DF4F"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0CEBB976"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Intervention: therapies were carried out at different doses</w:t>
            </w:r>
          </w:p>
        </w:tc>
      </w:tr>
      <w:tr w:rsidR="00016A6E" w:rsidRPr="006868B4" w14:paraId="58E9D249" w14:textId="77777777" w:rsidTr="005F54BD">
        <w:trPr>
          <w:cantSplit/>
          <w:trHeight w:val="3672"/>
        </w:trPr>
        <w:tc>
          <w:tcPr>
            <w:tcW w:w="2127" w:type="dxa"/>
          </w:tcPr>
          <w:p w14:paraId="2C221397"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Ballal et al. 2017 </w:t>
            </w:r>
            <w:r>
              <w:rPr>
                <w:rFonts w:asciiTheme="minorHAnsi" w:hAnsiTheme="minorHAnsi" w:cstheme="minorHAnsi"/>
                <w:color w:val="000000" w:themeColor="text1"/>
                <w:sz w:val="20"/>
                <w:szCs w:val="20"/>
                <w:vertAlign w:val="superscript"/>
              </w:rPr>
              <w:t>(2)</w:t>
            </w:r>
          </w:p>
          <w:p w14:paraId="32564D51" w14:textId="77777777" w:rsidR="00016A6E" w:rsidRDefault="00016A6E" w:rsidP="005F54BD">
            <w:pPr>
              <w:spacing w:line="276" w:lineRule="auto"/>
              <w:rPr>
                <w:rFonts w:asciiTheme="minorHAnsi" w:hAnsiTheme="minorHAnsi" w:cstheme="minorHAnsi"/>
                <w:color w:val="000000" w:themeColor="text1"/>
                <w:sz w:val="20"/>
                <w:szCs w:val="20"/>
              </w:rPr>
            </w:pPr>
          </w:p>
          <w:p w14:paraId="33E0DE83"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India </w:t>
            </w:r>
          </w:p>
        </w:tc>
        <w:tc>
          <w:tcPr>
            <w:tcW w:w="1418" w:type="dxa"/>
          </w:tcPr>
          <w:p w14:paraId="54C5295F"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Two</w:t>
            </w:r>
            <w:r w:rsidRPr="006868B4">
              <w:rPr>
                <w:rFonts w:asciiTheme="minorHAnsi" w:hAnsiTheme="minorHAnsi" w:cstheme="minorHAnsi"/>
                <w:color w:val="000000" w:themeColor="text1"/>
                <w:sz w:val="20"/>
                <w:szCs w:val="20"/>
              </w:rPr>
              <w:t xml:space="preserve">-arm </w:t>
            </w:r>
            <w:r>
              <w:rPr>
                <w:rFonts w:asciiTheme="minorHAnsi" w:hAnsiTheme="minorHAnsi" w:cstheme="minorHAnsi"/>
                <w:color w:val="000000" w:themeColor="text1"/>
                <w:sz w:val="20"/>
                <w:szCs w:val="20"/>
              </w:rPr>
              <w:t xml:space="preserve">retrospective </w:t>
            </w:r>
            <w:r w:rsidRPr="006868B4">
              <w:rPr>
                <w:rFonts w:asciiTheme="minorHAnsi" w:hAnsiTheme="minorHAnsi" w:cstheme="minorHAnsi"/>
                <w:color w:val="000000" w:themeColor="text1"/>
                <w:sz w:val="20"/>
                <w:szCs w:val="20"/>
              </w:rPr>
              <w:t xml:space="preserve">study </w:t>
            </w:r>
            <w:r>
              <w:rPr>
                <w:rFonts w:asciiTheme="minorHAnsi" w:hAnsiTheme="minorHAnsi" w:cstheme="minorHAnsi"/>
                <w:color w:val="000000" w:themeColor="text1"/>
                <w:sz w:val="20"/>
                <w:szCs w:val="20"/>
              </w:rPr>
              <w:t xml:space="preserve">- </w:t>
            </w: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Lu-DOTATATE + capecitabine</w:t>
            </w:r>
            <w:r>
              <w:rPr>
                <w:rFonts w:asciiTheme="minorHAnsi" w:hAnsiTheme="minorHAnsi" w:cstheme="minorHAnsi"/>
                <w:color w:val="000000" w:themeColor="text1"/>
                <w:sz w:val="20"/>
                <w:szCs w:val="20"/>
              </w:rPr>
              <w:t xml:space="preserve"> versus </w:t>
            </w: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Lu-DOTATAT</w:t>
            </w:r>
            <w:r>
              <w:rPr>
                <w:rFonts w:asciiTheme="minorHAnsi" w:hAnsiTheme="minorHAnsi" w:cstheme="minorHAnsi"/>
                <w:color w:val="000000" w:themeColor="text1"/>
                <w:sz w:val="20"/>
                <w:szCs w:val="20"/>
              </w:rPr>
              <w:t xml:space="preserve">E alone </w:t>
            </w:r>
          </w:p>
        </w:tc>
        <w:tc>
          <w:tcPr>
            <w:tcW w:w="2410" w:type="dxa"/>
          </w:tcPr>
          <w:p w14:paraId="2AD0FCE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Total </w:t>
            </w:r>
            <w:r>
              <w:rPr>
                <w:rFonts w:asciiTheme="minorHAnsi" w:hAnsiTheme="minorHAnsi" w:cstheme="minorHAnsi"/>
                <w:color w:val="000000" w:themeColor="text1"/>
                <w:sz w:val="20"/>
                <w:szCs w:val="20"/>
              </w:rPr>
              <w:t>N</w:t>
            </w:r>
            <w:r w:rsidRPr="006868B4">
              <w:rPr>
                <w:rFonts w:asciiTheme="minorHAnsi" w:hAnsiTheme="minorHAnsi" w:cstheme="minorHAnsi"/>
                <w:color w:val="000000" w:themeColor="text1"/>
                <w:sz w:val="20"/>
                <w:szCs w:val="20"/>
              </w:rPr>
              <w:t xml:space="preserve"> = 167</w:t>
            </w:r>
          </w:p>
          <w:p w14:paraId="2E83DAA7"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1368083F" w14:textId="77777777" w:rsidR="00016A6E"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Group 1 [</w:t>
            </w: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Lu-DOTATATE + capecitabine]</w:t>
            </w:r>
          </w:p>
          <w:p w14:paraId="1911089E"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Total N = 88</w:t>
            </w:r>
          </w:p>
          <w:p w14:paraId="3D8463EC"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Foregut (n = 17)</w:t>
            </w:r>
          </w:p>
          <w:p w14:paraId="1AFA3C5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Heart (n = 0)</w:t>
            </w:r>
          </w:p>
          <w:p w14:paraId="0CEA7748"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Hindgut (n = 6)</w:t>
            </w:r>
          </w:p>
          <w:p w14:paraId="19EEC12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Liver (n = 4)</w:t>
            </w:r>
          </w:p>
          <w:p w14:paraId="7775A1C7"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Midgut (n = 16)</w:t>
            </w:r>
          </w:p>
          <w:p w14:paraId="76CC459A"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Pancreatic (n = 23)</w:t>
            </w:r>
          </w:p>
          <w:p w14:paraId="15971DF5"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Paraganglioma (n = 12)</w:t>
            </w:r>
          </w:p>
          <w:p w14:paraId="616500F7"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Unknown primary (n = 10)</w:t>
            </w:r>
          </w:p>
          <w:p w14:paraId="7AE2F013"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6F20FBC4" w14:textId="77777777" w:rsidR="00016A6E"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Group 2 [</w:t>
            </w: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 xml:space="preserve">Lu-DOTATATE </w:t>
            </w:r>
            <w:r>
              <w:rPr>
                <w:rFonts w:asciiTheme="minorHAnsi" w:hAnsiTheme="minorHAnsi" w:cstheme="minorHAnsi"/>
                <w:color w:val="000000" w:themeColor="text1"/>
                <w:sz w:val="20"/>
                <w:szCs w:val="20"/>
              </w:rPr>
              <w:t>alone</w:t>
            </w:r>
            <w:r w:rsidRPr="006868B4">
              <w:rPr>
                <w:rFonts w:asciiTheme="minorHAnsi" w:hAnsiTheme="minorHAnsi" w:cstheme="minorHAnsi"/>
                <w:color w:val="000000" w:themeColor="text1"/>
                <w:sz w:val="20"/>
                <w:szCs w:val="20"/>
              </w:rPr>
              <w:t>]</w:t>
            </w:r>
          </w:p>
          <w:p w14:paraId="5F677993"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Total N = 79</w:t>
            </w:r>
          </w:p>
          <w:p w14:paraId="1FAFE17C"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Foregut (n = 13)</w:t>
            </w:r>
          </w:p>
          <w:p w14:paraId="396A06CC"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Heart (n = 1)</w:t>
            </w:r>
          </w:p>
          <w:p w14:paraId="33939527"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Hindgut (n = 6)</w:t>
            </w:r>
          </w:p>
          <w:p w14:paraId="3FCDD93A"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Liver (n = 1)</w:t>
            </w:r>
          </w:p>
          <w:p w14:paraId="57135AAA"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Midgut (n = 18)</w:t>
            </w:r>
          </w:p>
          <w:p w14:paraId="1C8A085F"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Pancreatic (n = 26)</w:t>
            </w:r>
          </w:p>
          <w:p w14:paraId="766FEB77"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Paraganglioma (n = 8) </w:t>
            </w:r>
          </w:p>
          <w:p w14:paraId="3EA934F5"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Unknown primary (n = 6)</w:t>
            </w:r>
          </w:p>
          <w:p w14:paraId="7C61773D" w14:textId="77777777" w:rsidR="00016A6E" w:rsidRPr="006868B4" w:rsidRDefault="00016A6E" w:rsidP="005F54BD">
            <w:pPr>
              <w:spacing w:line="276" w:lineRule="auto"/>
              <w:rPr>
                <w:rFonts w:asciiTheme="minorHAnsi" w:hAnsiTheme="minorHAnsi" w:cstheme="minorHAnsi"/>
                <w:color w:val="000000" w:themeColor="text1"/>
                <w:sz w:val="20"/>
                <w:szCs w:val="20"/>
              </w:rPr>
            </w:pPr>
          </w:p>
        </w:tc>
        <w:tc>
          <w:tcPr>
            <w:tcW w:w="1984" w:type="dxa"/>
          </w:tcPr>
          <w:p w14:paraId="42285001" w14:textId="77777777" w:rsidR="00016A6E"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Intervention:</w:t>
            </w:r>
          </w:p>
          <w:p w14:paraId="1F91FF1F"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 xml:space="preserve">Lu-DOTATATE + capecitabine </w:t>
            </w:r>
          </w:p>
          <w:p w14:paraId="3EF50A0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Capecitabine dose: </w:t>
            </w:r>
            <w:r w:rsidRPr="006868B4">
              <w:rPr>
                <w:rFonts w:asciiTheme="minorHAnsi" w:hAnsiTheme="minorHAnsi" w:cstheme="minorHAnsi"/>
                <w:color w:val="000000" w:themeColor="text1"/>
                <w:sz w:val="20"/>
                <w:szCs w:val="20"/>
                <w:shd w:val="clear" w:color="auto" w:fill="FFFFFF"/>
              </w:rPr>
              <w:t>1250 mg/m</w:t>
            </w:r>
            <w:r w:rsidRPr="006868B4">
              <w:rPr>
                <w:rFonts w:asciiTheme="minorHAnsi" w:hAnsiTheme="minorHAnsi" w:cstheme="minorHAnsi"/>
                <w:color w:val="000000" w:themeColor="text1"/>
                <w:sz w:val="20"/>
                <w:szCs w:val="20"/>
                <w:shd w:val="clear" w:color="auto" w:fill="FFFFFF"/>
                <w:vertAlign w:val="superscript"/>
              </w:rPr>
              <w:t>2</w:t>
            </w:r>
            <w:r w:rsidRPr="006868B4">
              <w:rPr>
                <w:rFonts w:asciiTheme="minorHAnsi" w:hAnsiTheme="minorHAnsi" w:cstheme="minorHAnsi"/>
                <w:color w:val="000000" w:themeColor="text1"/>
                <w:sz w:val="20"/>
                <w:szCs w:val="20"/>
                <w:shd w:val="clear" w:color="auto" w:fill="FFFFFF"/>
              </w:rPr>
              <w:t xml:space="preserve"> prescribed for 15 consecutive days commencing on </w:t>
            </w:r>
            <w:r>
              <w:rPr>
                <w:rFonts w:asciiTheme="minorHAnsi" w:hAnsiTheme="minorHAnsi" w:cstheme="minorHAnsi"/>
                <w:color w:val="000000" w:themeColor="text1"/>
                <w:sz w:val="20"/>
                <w:szCs w:val="20"/>
                <w:shd w:val="clear" w:color="auto" w:fill="FFFFFF"/>
              </w:rPr>
              <w:t>day one of treatment</w:t>
            </w:r>
          </w:p>
          <w:p w14:paraId="598F5AA1"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Dose per cycle: 5.550-7.400 GBq</w:t>
            </w:r>
          </w:p>
          <w:p w14:paraId="6B94BE62"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Number of cycles: median of 3 (range: 2-8)</w:t>
            </w:r>
          </w:p>
          <w:p w14:paraId="4458A505"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Interval between each cycle: 3-4 months </w:t>
            </w:r>
          </w:p>
          <w:p w14:paraId="17BF8E8E" w14:textId="77777777" w:rsidR="00016A6E" w:rsidRDefault="00016A6E" w:rsidP="005F54BD">
            <w:pPr>
              <w:spacing w:line="276" w:lineRule="auto"/>
              <w:rPr>
                <w:rFonts w:asciiTheme="minorHAnsi" w:hAnsiTheme="minorHAnsi" w:cstheme="minorHAnsi"/>
                <w:color w:val="000000" w:themeColor="text1"/>
                <w:sz w:val="20"/>
                <w:szCs w:val="20"/>
              </w:rPr>
            </w:pPr>
          </w:p>
          <w:p w14:paraId="2ACC99FB"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Control:</w:t>
            </w:r>
          </w:p>
          <w:p w14:paraId="063BF519"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 xml:space="preserve">Lu-DOTATATE </w:t>
            </w:r>
          </w:p>
          <w:p w14:paraId="45367B6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Dose per cycle: 5.550-7.400 GBq</w:t>
            </w:r>
          </w:p>
          <w:p w14:paraId="5629D90A"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Number of cycles: median of 3 (range: 2-8)</w:t>
            </w:r>
          </w:p>
          <w:p w14:paraId="1E7849AC"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Total dose: 16.65 – 22.2 GBq</w:t>
            </w:r>
          </w:p>
          <w:p w14:paraId="07AF1AB0"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Interval between each cycle: 3-4 months </w:t>
            </w:r>
          </w:p>
        </w:tc>
        <w:tc>
          <w:tcPr>
            <w:tcW w:w="1701" w:type="dxa"/>
          </w:tcPr>
          <w:p w14:paraId="639F8530"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Primary endpoint: median PFS [months] and median OS [months]</w:t>
            </w:r>
          </w:p>
        </w:tc>
        <w:tc>
          <w:tcPr>
            <w:tcW w:w="2410" w:type="dxa"/>
          </w:tcPr>
          <w:p w14:paraId="79C56590"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 xml:space="preserve">Lu-DOTATATE + capecitabine group: </w:t>
            </w:r>
          </w:p>
          <w:p w14:paraId="24D6516E"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Median PFS: not reached </w:t>
            </w:r>
          </w:p>
          <w:p w14:paraId="4CFEB636"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Median OS: not reached</w:t>
            </w:r>
          </w:p>
          <w:p w14:paraId="62A119DF"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596A5B33"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 xml:space="preserve">Lu-DOTATATE group: </w:t>
            </w:r>
          </w:p>
          <w:p w14:paraId="60398F8A"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Median PFS: 48 months </w:t>
            </w:r>
          </w:p>
          <w:p w14:paraId="1B447D13" w14:textId="77777777" w:rsidR="00016A6E" w:rsidRPr="006868B4" w:rsidRDefault="00016A6E" w:rsidP="005F54BD">
            <w:pPr>
              <w:tabs>
                <w:tab w:val="center" w:pos="1522"/>
              </w:tabs>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Median OS: 48 months</w:t>
            </w:r>
          </w:p>
          <w:p w14:paraId="2D7EF082" w14:textId="77777777" w:rsidR="00016A6E" w:rsidRPr="006868B4" w:rsidRDefault="00016A6E" w:rsidP="005F54BD">
            <w:pPr>
              <w:spacing w:line="276" w:lineRule="auto"/>
              <w:rPr>
                <w:rFonts w:asciiTheme="minorHAnsi" w:hAnsiTheme="minorHAnsi" w:cstheme="minorHAnsi"/>
                <w:color w:val="000000" w:themeColor="text1"/>
                <w:sz w:val="20"/>
                <w:szCs w:val="20"/>
              </w:rPr>
            </w:pPr>
          </w:p>
        </w:tc>
        <w:tc>
          <w:tcPr>
            <w:tcW w:w="2693" w:type="dxa"/>
          </w:tcPr>
          <w:p w14:paraId="79DD8450" w14:textId="77777777" w:rsidR="00016A6E"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Study design: retrospective nature, leading to the risk of bias. However clinical and demographic variables were matched</w:t>
            </w:r>
            <w:r>
              <w:rPr>
                <w:rFonts w:asciiTheme="minorHAnsi" w:hAnsiTheme="minorHAnsi" w:cstheme="minorHAnsi"/>
                <w:color w:val="000000" w:themeColor="text1"/>
                <w:sz w:val="20"/>
                <w:szCs w:val="20"/>
              </w:rPr>
              <w:t>.</w:t>
            </w:r>
          </w:p>
          <w:p w14:paraId="4229F024"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Randomised studies on PRRT vs other therapies are necessary to fully assess impact on PFS and OS </w:t>
            </w:r>
          </w:p>
          <w:p w14:paraId="5DEE7150"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1F7DFAE8" w14:textId="77777777" w:rsidR="00016A6E"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Independent variables have shown that progression can be used for designing future </w:t>
            </w:r>
            <w:r>
              <w:rPr>
                <w:rFonts w:asciiTheme="minorHAnsi" w:hAnsiTheme="minorHAnsi" w:cstheme="minorHAnsi"/>
                <w:color w:val="000000" w:themeColor="text1"/>
                <w:sz w:val="20"/>
                <w:szCs w:val="20"/>
              </w:rPr>
              <w:t xml:space="preserve">RCTs </w:t>
            </w:r>
            <w:r w:rsidRPr="006868B4">
              <w:rPr>
                <w:rFonts w:asciiTheme="minorHAnsi" w:hAnsiTheme="minorHAnsi" w:cstheme="minorHAnsi"/>
                <w:color w:val="000000" w:themeColor="text1"/>
                <w:sz w:val="20"/>
                <w:szCs w:val="20"/>
              </w:rPr>
              <w:t xml:space="preserve">which predefined classifying variables </w:t>
            </w:r>
          </w:p>
          <w:p w14:paraId="3F0F5EE3" w14:textId="77777777" w:rsidR="00016A6E" w:rsidRDefault="00016A6E" w:rsidP="005F54BD">
            <w:pPr>
              <w:spacing w:line="276" w:lineRule="auto"/>
              <w:rPr>
                <w:rFonts w:asciiTheme="minorHAnsi" w:hAnsiTheme="minorHAnsi" w:cstheme="minorHAnsi"/>
                <w:color w:val="000000" w:themeColor="text1"/>
                <w:sz w:val="20"/>
                <w:szCs w:val="20"/>
              </w:rPr>
            </w:pPr>
          </w:p>
          <w:p w14:paraId="4BB804AE"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Key Results:</w:t>
            </w:r>
          </w:p>
          <w:p w14:paraId="6D98555C"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Median PFS was not reached indicates more than half of patients in group 1 remained without disease progression during the observed follow up period</w:t>
            </w:r>
          </w:p>
          <w:p w14:paraId="080F9593"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Median OS not reached means that over 50% of patients were still alive at the latest analysis point</w:t>
            </w:r>
          </w:p>
        </w:tc>
      </w:tr>
      <w:tr w:rsidR="00016A6E" w:rsidRPr="006868B4" w14:paraId="7A1CB389" w14:textId="77777777" w:rsidTr="005F54BD">
        <w:trPr>
          <w:cantSplit/>
        </w:trPr>
        <w:tc>
          <w:tcPr>
            <w:tcW w:w="2127" w:type="dxa"/>
          </w:tcPr>
          <w:p w14:paraId="1D3528F7"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Brabander et al. 2017 </w:t>
            </w:r>
            <w:r>
              <w:rPr>
                <w:rFonts w:asciiTheme="minorHAnsi" w:hAnsiTheme="minorHAnsi" w:cstheme="minorHAnsi"/>
                <w:color w:val="000000" w:themeColor="text1"/>
                <w:sz w:val="20"/>
                <w:szCs w:val="20"/>
                <w:vertAlign w:val="superscript"/>
              </w:rPr>
              <w:t>(4)</w:t>
            </w:r>
          </w:p>
          <w:p w14:paraId="1B715B88" w14:textId="77777777" w:rsidR="00016A6E" w:rsidRDefault="00016A6E" w:rsidP="005F54BD">
            <w:pPr>
              <w:spacing w:line="276" w:lineRule="auto"/>
              <w:rPr>
                <w:rFonts w:asciiTheme="minorHAnsi" w:hAnsiTheme="minorHAnsi" w:cstheme="minorHAnsi"/>
                <w:color w:val="000000" w:themeColor="text1"/>
                <w:sz w:val="20"/>
                <w:szCs w:val="20"/>
              </w:rPr>
            </w:pPr>
          </w:p>
          <w:p w14:paraId="66D1350A"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Netherlands </w:t>
            </w:r>
          </w:p>
        </w:tc>
        <w:tc>
          <w:tcPr>
            <w:tcW w:w="1418" w:type="dxa"/>
          </w:tcPr>
          <w:p w14:paraId="02ECA929"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Retrospective cohort study</w:t>
            </w:r>
          </w:p>
        </w:tc>
        <w:tc>
          <w:tcPr>
            <w:tcW w:w="2410" w:type="dxa"/>
          </w:tcPr>
          <w:p w14:paraId="4C224C48"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Total </w:t>
            </w:r>
            <w:r>
              <w:rPr>
                <w:rFonts w:asciiTheme="minorHAnsi" w:hAnsiTheme="minorHAnsi" w:cstheme="minorHAnsi"/>
                <w:color w:val="000000" w:themeColor="text1"/>
                <w:sz w:val="20"/>
                <w:szCs w:val="20"/>
              </w:rPr>
              <w:t>N</w:t>
            </w:r>
            <w:r w:rsidRPr="006868B4">
              <w:rPr>
                <w:rFonts w:asciiTheme="minorHAnsi" w:hAnsiTheme="minorHAnsi" w:cstheme="minorHAnsi"/>
                <w:color w:val="000000" w:themeColor="text1"/>
                <w:sz w:val="20"/>
                <w:szCs w:val="20"/>
              </w:rPr>
              <w:t xml:space="preserve"> = 1214</w:t>
            </w:r>
          </w:p>
          <w:p w14:paraId="5AD53D73"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Subgroup n = 443 for efficacy and survival</w:t>
            </w:r>
          </w:p>
          <w:p w14:paraId="41A346B5"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2FDC771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Bronchial (n =23) </w:t>
            </w:r>
          </w:p>
          <w:p w14:paraId="37D2091F"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Hindgut (n =12)</w:t>
            </w:r>
          </w:p>
          <w:p w14:paraId="0FB4BA97"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Midgut (n=181)</w:t>
            </w:r>
          </w:p>
          <w:p w14:paraId="2366DB8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Other foregut (stomach (n=5), proximal duodenum (n=5), thymus (n=2))</w:t>
            </w:r>
          </w:p>
          <w:p w14:paraId="3C012F2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Pancreatic (n = 133)</w:t>
            </w:r>
          </w:p>
          <w:p w14:paraId="147B965C"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Unknown origin (n =82)</w:t>
            </w:r>
          </w:p>
        </w:tc>
        <w:tc>
          <w:tcPr>
            <w:tcW w:w="1984" w:type="dxa"/>
          </w:tcPr>
          <w:p w14:paraId="6444060F"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Intervention: </w:t>
            </w: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Lu-DOTATATE</w:t>
            </w:r>
          </w:p>
          <w:p w14:paraId="20A967F6"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Dose per cycle: </w:t>
            </w:r>
          </w:p>
          <w:p w14:paraId="1E05FB2C"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Total dose: 27.8-29.6 GBq</w:t>
            </w:r>
          </w:p>
          <w:p w14:paraId="6681804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Number of cycles:</w:t>
            </w:r>
          </w:p>
          <w:p w14:paraId="11240874"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Intended interval between each cycle: 6-10 weeks </w:t>
            </w:r>
          </w:p>
          <w:p w14:paraId="2E6514FF"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76E33FB8"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Control: none </w:t>
            </w:r>
          </w:p>
        </w:tc>
        <w:tc>
          <w:tcPr>
            <w:tcW w:w="1701" w:type="dxa"/>
          </w:tcPr>
          <w:p w14:paraId="071061D2"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Primary endpoint: median PFS [months] and median OS [months]</w:t>
            </w:r>
          </w:p>
        </w:tc>
        <w:tc>
          <w:tcPr>
            <w:tcW w:w="2410" w:type="dxa"/>
          </w:tcPr>
          <w:p w14:paraId="1A855F07"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Median PFS [in months]</w:t>
            </w:r>
            <w:r>
              <w:rPr>
                <w:rFonts w:asciiTheme="minorHAnsi" w:hAnsiTheme="minorHAnsi" w:cstheme="minorHAnsi"/>
                <w:color w:val="000000" w:themeColor="text1"/>
                <w:sz w:val="20"/>
                <w:szCs w:val="20"/>
              </w:rPr>
              <w:t>:</w:t>
            </w:r>
          </w:p>
          <w:p w14:paraId="099B49B1"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Bronchial: 20</w:t>
            </w:r>
          </w:p>
          <w:p w14:paraId="2566BCF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Hindgut: 29</w:t>
            </w:r>
          </w:p>
          <w:p w14:paraId="716CAD11"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Midgut: 30 </w:t>
            </w:r>
          </w:p>
          <w:p w14:paraId="713854BE"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Other foregut: 25</w:t>
            </w:r>
          </w:p>
          <w:p w14:paraId="1917E8B3"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Pancreatic: 31</w:t>
            </w:r>
          </w:p>
          <w:p w14:paraId="4546CF41"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Unknown origin: 29</w:t>
            </w:r>
          </w:p>
          <w:p w14:paraId="4889BB3E"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66E11010"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Median OS [in months]</w:t>
            </w:r>
            <w:r>
              <w:rPr>
                <w:rFonts w:asciiTheme="minorHAnsi" w:hAnsiTheme="minorHAnsi" w:cstheme="minorHAnsi"/>
                <w:color w:val="000000" w:themeColor="text1"/>
                <w:sz w:val="20"/>
                <w:szCs w:val="20"/>
              </w:rPr>
              <w:t>:</w:t>
            </w:r>
          </w:p>
          <w:p w14:paraId="63322E25"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Bronchial: 52 </w:t>
            </w:r>
          </w:p>
          <w:p w14:paraId="172136B5"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Hindgut: 50</w:t>
            </w:r>
          </w:p>
          <w:p w14:paraId="703C7B7E"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Midgut: 60</w:t>
            </w:r>
          </w:p>
          <w:p w14:paraId="5B5A8463"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Other foregut: 52 </w:t>
            </w:r>
          </w:p>
          <w:p w14:paraId="3A95AE4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Pancreatic: 71</w:t>
            </w:r>
          </w:p>
          <w:p w14:paraId="1B4C5568" w14:textId="77777777" w:rsidR="00016A6E"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Unknown origin: 53</w:t>
            </w:r>
          </w:p>
          <w:p w14:paraId="5A75284F" w14:textId="77777777" w:rsidR="00016A6E" w:rsidRPr="006868B4" w:rsidRDefault="00016A6E" w:rsidP="005F54BD">
            <w:pPr>
              <w:spacing w:line="276" w:lineRule="auto"/>
              <w:rPr>
                <w:rFonts w:asciiTheme="minorHAnsi" w:hAnsiTheme="minorHAnsi" w:cstheme="minorHAnsi"/>
                <w:color w:val="000000" w:themeColor="text1"/>
                <w:sz w:val="20"/>
                <w:szCs w:val="20"/>
              </w:rPr>
            </w:pPr>
          </w:p>
        </w:tc>
        <w:tc>
          <w:tcPr>
            <w:tcW w:w="2693" w:type="dxa"/>
          </w:tcPr>
          <w:p w14:paraId="5B983B02"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Study design: a non-randomised trial however it did follow strict eligibility criteria as well as an active follow up for many years to make the results more reliable</w:t>
            </w:r>
          </w:p>
        </w:tc>
      </w:tr>
      <w:tr w:rsidR="00016A6E" w:rsidRPr="006868B4" w14:paraId="7AE972E9" w14:textId="77777777" w:rsidTr="005F54BD">
        <w:trPr>
          <w:cantSplit/>
        </w:trPr>
        <w:tc>
          <w:tcPr>
            <w:tcW w:w="2127" w:type="dxa"/>
          </w:tcPr>
          <w:p w14:paraId="3A20799E"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Demirci et al. 2018 </w:t>
            </w:r>
            <w:r>
              <w:rPr>
                <w:rFonts w:asciiTheme="minorHAnsi" w:hAnsiTheme="minorHAnsi" w:cstheme="minorHAnsi"/>
                <w:color w:val="000000" w:themeColor="text1"/>
                <w:sz w:val="20"/>
                <w:szCs w:val="20"/>
                <w:vertAlign w:val="superscript"/>
              </w:rPr>
              <w:t>(1</w:t>
            </w:r>
            <w:r w:rsidRPr="00966DFF">
              <w:rPr>
                <w:rFonts w:asciiTheme="minorHAnsi" w:hAnsiTheme="minorHAnsi" w:cstheme="minorHAnsi"/>
                <w:color w:val="000000" w:themeColor="text1"/>
                <w:sz w:val="20"/>
                <w:szCs w:val="20"/>
                <w:vertAlign w:val="superscript"/>
              </w:rPr>
              <w:t>3</w:t>
            </w:r>
            <w:r>
              <w:rPr>
                <w:rFonts w:asciiTheme="minorHAnsi" w:hAnsiTheme="minorHAnsi" w:cstheme="minorHAnsi"/>
                <w:color w:val="000000" w:themeColor="text1"/>
                <w:sz w:val="20"/>
                <w:szCs w:val="20"/>
                <w:vertAlign w:val="superscript"/>
              </w:rPr>
              <w:t>)</w:t>
            </w:r>
          </w:p>
          <w:p w14:paraId="0AE67D24" w14:textId="77777777" w:rsidR="00016A6E" w:rsidRDefault="00016A6E" w:rsidP="005F54BD">
            <w:pPr>
              <w:spacing w:line="276" w:lineRule="auto"/>
              <w:rPr>
                <w:rFonts w:asciiTheme="minorHAnsi" w:hAnsiTheme="minorHAnsi" w:cstheme="minorHAnsi"/>
                <w:color w:val="000000" w:themeColor="text1"/>
                <w:sz w:val="20"/>
                <w:szCs w:val="20"/>
              </w:rPr>
            </w:pPr>
          </w:p>
          <w:p w14:paraId="475B8048"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Turkey</w:t>
            </w:r>
          </w:p>
        </w:tc>
        <w:tc>
          <w:tcPr>
            <w:tcW w:w="1418" w:type="dxa"/>
          </w:tcPr>
          <w:p w14:paraId="1C551875"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Retrospective cohort study</w:t>
            </w:r>
          </w:p>
        </w:tc>
        <w:tc>
          <w:tcPr>
            <w:tcW w:w="2410" w:type="dxa"/>
          </w:tcPr>
          <w:p w14:paraId="0798133A"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Total </w:t>
            </w:r>
            <w:r>
              <w:rPr>
                <w:rFonts w:asciiTheme="minorHAnsi" w:hAnsiTheme="minorHAnsi" w:cstheme="minorHAnsi"/>
                <w:color w:val="000000" w:themeColor="text1"/>
                <w:sz w:val="20"/>
                <w:szCs w:val="20"/>
              </w:rPr>
              <w:t>N</w:t>
            </w:r>
            <w:r w:rsidRPr="006868B4">
              <w:rPr>
                <w:rFonts w:asciiTheme="minorHAnsi" w:hAnsiTheme="minorHAnsi" w:cstheme="minorHAnsi"/>
                <w:color w:val="000000" w:themeColor="text1"/>
                <w:sz w:val="20"/>
                <w:szCs w:val="20"/>
              </w:rPr>
              <w:t xml:space="preserve"> = 186 </w:t>
            </w:r>
          </w:p>
          <w:p w14:paraId="70265FED"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0B3AE85C"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Lung (n = 29) </w:t>
            </w:r>
          </w:p>
          <w:p w14:paraId="6DF0BC34"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Non pancreatic gastroenteropancreatic (n = 42)</w:t>
            </w:r>
          </w:p>
          <w:p w14:paraId="47710C3A"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Other sites (n = 8)</w:t>
            </w:r>
          </w:p>
          <w:p w14:paraId="56EEF84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Pancreas (n = 62)</w:t>
            </w:r>
          </w:p>
          <w:p w14:paraId="28B82C51"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Paraganglioma/ Pheochromocytoma (n = 12)</w:t>
            </w:r>
          </w:p>
          <w:p w14:paraId="3C88D573"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Unknown primary (n = 27)</w:t>
            </w:r>
          </w:p>
          <w:p w14:paraId="68717531" w14:textId="77777777" w:rsidR="00016A6E" w:rsidRPr="006868B4" w:rsidRDefault="00016A6E" w:rsidP="005F54BD">
            <w:pPr>
              <w:spacing w:line="276" w:lineRule="auto"/>
              <w:rPr>
                <w:rFonts w:asciiTheme="minorHAnsi" w:hAnsiTheme="minorHAnsi" w:cstheme="minorHAnsi"/>
                <w:color w:val="000000" w:themeColor="text1"/>
                <w:sz w:val="20"/>
                <w:szCs w:val="20"/>
              </w:rPr>
            </w:pPr>
          </w:p>
        </w:tc>
        <w:tc>
          <w:tcPr>
            <w:tcW w:w="1984" w:type="dxa"/>
          </w:tcPr>
          <w:p w14:paraId="63A9BF87"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Intervention: </w:t>
            </w: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Lu-DOTATATE</w:t>
            </w:r>
          </w:p>
          <w:p w14:paraId="02257903"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Dose per cycle: 3.7GBq-8.1GBq (mean: 5.04)</w:t>
            </w:r>
          </w:p>
          <w:p w14:paraId="72A008D5"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Number of cycles: median of six (range: 3-12)</w:t>
            </w:r>
          </w:p>
          <w:p w14:paraId="007FBBB0"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Total dose: approximately 30.24 </w:t>
            </w:r>
            <w:proofErr w:type="spellStart"/>
            <w:r w:rsidRPr="006868B4">
              <w:rPr>
                <w:rFonts w:asciiTheme="minorHAnsi" w:hAnsiTheme="minorHAnsi" w:cstheme="minorHAnsi"/>
                <w:color w:val="000000" w:themeColor="text1"/>
                <w:sz w:val="20"/>
                <w:szCs w:val="20"/>
              </w:rPr>
              <w:t>BGq</w:t>
            </w:r>
            <w:proofErr w:type="spellEnd"/>
          </w:p>
          <w:p w14:paraId="3F4FED22"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Interval between each cycle: -</w:t>
            </w:r>
          </w:p>
          <w:p w14:paraId="784912E8" w14:textId="77777777" w:rsidR="00016A6E" w:rsidRDefault="00016A6E" w:rsidP="005F54BD">
            <w:pPr>
              <w:spacing w:line="276" w:lineRule="auto"/>
              <w:rPr>
                <w:rFonts w:asciiTheme="minorHAnsi" w:hAnsiTheme="minorHAnsi" w:cstheme="minorHAnsi"/>
                <w:color w:val="000000" w:themeColor="text1"/>
                <w:sz w:val="20"/>
                <w:szCs w:val="20"/>
              </w:rPr>
            </w:pPr>
          </w:p>
          <w:p w14:paraId="2667469E"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Control: none </w:t>
            </w:r>
          </w:p>
        </w:tc>
        <w:tc>
          <w:tcPr>
            <w:tcW w:w="1701" w:type="dxa"/>
          </w:tcPr>
          <w:p w14:paraId="630CEA72"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Primary endpoint: median PFS [months] and median OS [months]and response rates</w:t>
            </w:r>
          </w:p>
        </w:tc>
        <w:tc>
          <w:tcPr>
            <w:tcW w:w="2410" w:type="dxa"/>
          </w:tcPr>
          <w:p w14:paraId="018B0976"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PFS [in months]</w:t>
            </w:r>
            <w:r>
              <w:rPr>
                <w:rFonts w:asciiTheme="minorHAnsi" w:hAnsiTheme="minorHAnsi" w:cstheme="minorHAnsi"/>
                <w:color w:val="000000" w:themeColor="text1"/>
                <w:sz w:val="20"/>
                <w:szCs w:val="20"/>
              </w:rPr>
              <w:t>:</w:t>
            </w:r>
          </w:p>
          <w:p w14:paraId="4DF69283"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Lung: 32</w:t>
            </w:r>
          </w:p>
          <w:p w14:paraId="075F9099"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Pancreas: 42.3</w:t>
            </w:r>
          </w:p>
          <w:p w14:paraId="783AF6D3"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Non pancreatic GEP-NETs: 37.7</w:t>
            </w:r>
          </w:p>
          <w:p w14:paraId="091BF42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Other sites: 15.4</w:t>
            </w:r>
          </w:p>
          <w:p w14:paraId="1072BE4F"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Pancreas: 42.3</w:t>
            </w:r>
          </w:p>
          <w:p w14:paraId="1CFBA861"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Paraganglioma/ Pheochromocytoma: 31.4</w:t>
            </w:r>
          </w:p>
          <w:p w14:paraId="7D77563E"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Unknown primary: 40.9</w:t>
            </w:r>
          </w:p>
          <w:p w14:paraId="663493E3"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0A1A65FA"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OS [in months]</w:t>
            </w:r>
            <w:r>
              <w:rPr>
                <w:rFonts w:asciiTheme="minorHAnsi" w:hAnsiTheme="minorHAnsi" w:cstheme="minorHAnsi"/>
                <w:color w:val="000000" w:themeColor="text1"/>
                <w:sz w:val="20"/>
                <w:szCs w:val="20"/>
              </w:rPr>
              <w:t>:</w:t>
            </w:r>
          </w:p>
          <w:p w14:paraId="31C6DA9F"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Lung: 44.3</w:t>
            </w:r>
          </w:p>
          <w:p w14:paraId="34BDE572"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Non pancreatic GEP-NETs: 57.3</w:t>
            </w:r>
          </w:p>
          <w:p w14:paraId="74181E87"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Other sites: 25.4</w:t>
            </w:r>
          </w:p>
          <w:p w14:paraId="5C581242"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Pancreas: 57.4</w:t>
            </w:r>
          </w:p>
          <w:p w14:paraId="39C15980"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Paraganglioma/ Pheochromocytoma: 51.8</w:t>
            </w:r>
          </w:p>
          <w:p w14:paraId="49935014"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Unknown primary: 48.3 </w:t>
            </w:r>
          </w:p>
          <w:p w14:paraId="3373DB2B"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7EABDA88"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Progressive disease (28.1%)</w:t>
            </w:r>
          </w:p>
          <w:p w14:paraId="21EB9269"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Stable disease (21.9%)</w:t>
            </w:r>
          </w:p>
          <w:p w14:paraId="655C9B7C"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Partial response (46.9%)</w:t>
            </w:r>
          </w:p>
          <w:p w14:paraId="2CC5DFF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Complete response (3.1%)</w:t>
            </w:r>
          </w:p>
        </w:tc>
        <w:tc>
          <w:tcPr>
            <w:tcW w:w="2693" w:type="dxa"/>
          </w:tcPr>
          <w:p w14:paraId="3E2E644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Study design: a non-randomised </w:t>
            </w:r>
            <w:r>
              <w:rPr>
                <w:rFonts w:asciiTheme="minorHAnsi" w:hAnsiTheme="minorHAnsi" w:cstheme="minorHAnsi"/>
                <w:color w:val="000000" w:themeColor="text1"/>
                <w:sz w:val="20"/>
                <w:szCs w:val="20"/>
              </w:rPr>
              <w:t>retrospective design</w:t>
            </w:r>
            <w:r w:rsidRPr="006868B4">
              <w:rPr>
                <w:rFonts w:asciiTheme="minorHAnsi" w:hAnsiTheme="minorHAnsi" w:cstheme="minorHAnsi"/>
                <w:color w:val="000000" w:themeColor="text1"/>
                <w:sz w:val="20"/>
                <w:szCs w:val="20"/>
              </w:rPr>
              <w:t xml:space="preserve">, which analysed pre-existing data, leading to the risk of bias </w:t>
            </w:r>
          </w:p>
          <w:p w14:paraId="14CA6F5C"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351ED54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Intervention: </w:t>
            </w:r>
            <w:r>
              <w:rPr>
                <w:rFonts w:asciiTheme="minorHAnsi" w:hAnsiTheme="minorHAnsi" w:cstheme="minorHAnsi"/>
                <w:color w:val="000000" w:themeColor="text1"/>
                <w:sz w:val="20"/>
                <w:szCs w:val="20"/>
              </w:rPr>
              <w:t xml:space="preserve">varied doses and subtypes </w:t>
            </w:r>
          </w:p>
        </w:tc>
      </w:tr>
      <w:tr w:rsidR="00016A6E" w:rsidRPr="006868B4" w14:paraId="5AB44399" w14:textId="77777777" w:rsidTr="005F54BD">
        <w:trPr>
          <w:cantSplit/>
        </w:trPr>
        <w:tc>
          <w:tcPr>
            <w:tcW w:w="2127" w:type="dxa"/>
          </w:tcPr>
          <w:p w14:paraId="68EA5E96"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Lin et al. 2019 </w:t>
            </w:r>
            <w:r>
              <w:rPr>
                <w:rFonts w:asciiTheme="minorHAnsi" w:hAnsiTheme="minorHAnsi" w:cstheme="minorHAnsi"/>
                <w:color w:val="000000" w:themeColor="text1"/>
                <w:sz w:val="20"/>
                <w:szCs w:val="20"/>
                <w:vertAlign w:val="superscript"/>
              </w:rPr>
              <w:t>(2</w:t>
            </w:r>
            <w:r w:rsidRPr="00966DFF">
              <w:rPr>
                <w:rFonts w:asciiTheme="minorHAnsi" w:hAnsiTheme="minorHAnsi" w:cstheme="minorHAnsi"/>
                <w:color w:val="000000" w:themeColor="text1"/>
                <w:sz w:val="20"/>
                <w:szCs w:val="20"/>
                <w:vertAlign w:val="superscript"/>
              </w:rPr>
              <w:t>0</w:t>
            </w:r>
            <w:r>
              <w:rPr>
                <w:rFonts w:asciiTheme="minorHAnsi" w:hAnsiTheme="minorHAnsi" w:cstheme="minorHAnsi"/>
                <w:color w:val="000000" w:themeColor="text1"/>
                <w:sz w:val="20"/>
                <w:szCs w:val="20"/>
                <w:vertAlign w:val="superscript"/>
              </w:rPr>
              <w:t>)</w:t>
            </w:r>
          </w:p>
          <w:p w14:paraId="023B89C5" w14:textId="77777777" w:rsidR="00016A6E" w:rsidRDefault="00016A6E" w:rsidP="005F54BD">
            <w:pPr>
              <w:spacing w:line="276" w:lineRule="auto"/>
              <w:rPr>
                <w:rFonts w:asciiTheme="minorHAnsi" w:hAnsiTheme="minorHAnsi" w:cstheme="minorHAnsi"/>
                <w:color w:val="000000" w:themeColor="text1"/>
                <w:sz w:val="20"/>
                <w:szCs w:val="20"/>
              </w:rPr>
            </w:pPr>
          </w:p>
          <w:p w14:paraId="412105E9"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Australia</w:t>
            </w:r>
          </w:p>
        </w:tc>
        <w:tc>
          <w:tcPr>
            <w:tcW w:w="1418" w:type="dxa"/>
          </w:tcPr>
          <w:p w14:paraId="2AEC9018"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Retrospective cohort study</w:t>
            </w:r>
          </w:p>
        </w:tc>
        <w:tc>
          <w:tcPr>
            <w:tcW w:w="2410" w:type="dxa"/>
          </w:tcPr>
          <w:p w14:paraId="5060A808"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Total </w:t>
            </w:r>
            <w:r>
              <w:rPr>
                <w:rFonts w:asciiTheme="minorHAnsi" w:hAnsiTheme="minorHAnsi" w:cstheme="minorHAnsi"/>
                <w:color w:val="000000" w:themeColor="text1"/>
                <w:sz w:val="20"/>
                <w:szCs w:val="20"/>
              </w:rPr>
              <w:t>N</w:t>
            </w:r>
            <w:r w:rsidRPr="006868B4">
              <w:rPr>
                <w:rFonts w:asciiTheme="minorHAnsi" w:hAnsiTheme="minorHAnsi" w:cstheme="minorHAnsi"/>
                <w:color w:val="000000" w:themeColor="text1"/>
                <w:sz w:val="20"/>
                <w:szCs w:val="20"/>
              </w:rPr>
              <w:t xml:space="preserve"> = 279 [one patient had two primary sites]</w:t>
            </w:r>
          </w:p>
          <w:p w14:paraId="271B2767"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57C374D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Adrenal gland (n = 11)</w:t>
            </w:r>
          </w:p>
          <w:p w14:paraId="0066D89E"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Appendix (n = 4)</w:t>
            </w:r>
          </w:p>
          <w:p w14:paraId="0490DDD3"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Gastrointestinal (n = 2)</w:t>
            </w:r>
          </w:p>
          <w:p w14:paraId="449A9283"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Gastro-oesophageal (n = 5)</w:t>
            </w:r>
          </w:p>
          <w:p w14:paraId="78F38FE7"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Head and neck (n = 5)</w:t>
            </w:r>
          </w:p>
          <w:p w14:paraId="32E48296"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Large bowel (n = 15)</w:t>
            </w:r>
          </w:p>
          <w:p w14:paraId="03727D1A"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Pancreas (n = 90)</w:t>
            </w:r>
          </w:p>
          <w:p w14:paraId="5A36024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Pulmonary (n = 17)</w:t>
            </w:r>
          </w:p>
          <w:p w14:paraId="6502EBC2"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Small bowel (n = 104)</w:t>
            </w:r>
          </w:p>
          <w:p w14:paraId="3C1B5CA0"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Thyroid (n = 4)</w:t>
            </w:r>
          </w:p>
          <w:p w14:paraId="00BD363A" w14:textId="77777777" w:rsidR="00016A6E"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Unknown (n = 14)</w:t>
            </w:r>
          </w:p>
          <w:p w14:paraId="75D60936" w14:textId="77777777" w:rsidR="00016A6E" w:rsidRPr="006868B4" w:rsidRDefault="00016A6E" w:rsidP="005F54BD">
            <w:pPr>
              <w:spacing w:line="276" w:lineRule="auto"/>
              <w:rPr>
                <w:rFonts w:asciiTheme="minorHAnsi" w:hAnsiTheme="minorHAnsi" w:cstheme="minorHAnsi"/>
                <w:color w:val="000000" w:themeColor="text1"/>
                <w:sz w:val="20"/>
                <w:szCs w:val="20"/>
              </w:rPr>
            </w:pPr>
          </w:p>
        </w:tc>
        <w:tc>
          <w:tcPr>
            <w:tcW w:w="1984" w:type="dxa"/>
          </w:tcPr>
          <w:p w14:paraId="2F2C5B06"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Intervention: </w:t>
            </w: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Lu-DOTATATE</w:t>
            </w:r>
          </w:p>
          <w:p w14:paraId="53ACC4A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Dose per cycle: 7.5-8GBq</w:t>
            </w:r>
          </w:p>
          <w:p w14:paraId="26021656"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Number of cycles: 4 </w:t>
            </w:r>
          </w:p>
          <w:p w14:paraId="391FB3E4"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Interval between each cycle: 8 weeks </w:t>
            </w:r>
          </w:p>
          <w:p w14:paraId="1044F2B8" w14:textId="77777777" w:rsidR="00016A6E" w:rsidRDefault="00016A6E" w:rsidP="005F54BD">
            <w:pPr>
              <w:spacing w:line="276" w:lineRule="auto"/>
              <w:rPr>
                <w:rFonts w:asciiTheme="minorHAnsi" w:hAnsiTheme="minorHAnsi" w:cstheme="minorHAnsi"/>
                <w:color w:val="000000" w:themeColor="text1"/>
                <w:sz w:val="20"/>
                <w:szCs w:val="20"/>
              </w:rPr>
            </w:pPr>
          </w:p>
          <w:p w14:paraId="40203BDC"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Control: none </w:t>
            </w:r>
          </w:p>
        </w:tc>
        <w:tc>
          <w:tcPr>
            <w:tcW w:w="1701" w:type="dxa"/>
          </w:tcPr>
          <w:p w14:paraId="2FA5378C"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Primary endpoint: median PFS [months] and median OS [months]</w:t>
            </w:r>
          </w:p>
        </w:tc>
        <w:tc>
          <w:tcPr>
            <w:tcW w:w="2410" w:type="dxa"/>
          </w:tcPr>
          <w:p w14:paraId="7050BA6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Median PFS: 22.9 </w:t>
            </w:r>
          </w:p>
          <w:p w14:paraId="640C7C6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[non GEP: 12.0 Vs GEP: 24.9]</w:t>
            </w:r>
          </w:p>
          <w:p w14:paraId="4E0E4E9E"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Median OS of those who met the inclusion criteria: 50.7</w:t>
            </w:r>
          </w:p>
          <w:p w14:paraId="15EAE841"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Median OS of those who didn’t meet the selection criteria: 34.2  </w:t>
            </w:r>
          </w:p>
          <w:p w14:paraId="6FDCCBD2" w14:textId="77777777" w:rsidR="00016A6E" w:rsidRPr="006868B4" w:rsidRDefault="00016A6E" w:rsidP="005F54BD">
            <w:pPr>
              <w:spacing w:line="276" w:lineRule="auto"/>
              <w:rPr>
                <w:rFonts w:asciiTheme="minorHAnsi" w:hAnsiTheme="minorHAnsi" w:cstheme="minorHAnsi"/>
                <w:color w:val="000000" w:themeColor="text1"/>
                <w:sz w:val="20"/>
                <w:szCs w:val="20"/>
              </w:rPr>
            </w:pPr>
          </w:p>
        </w:tc>
        <w:tc>
          <w:tcPr>
            <w:tcW w:w="2693" w:type="dxa"/>
          </w:tcPr>
          <w:p w14:paraId="048418B3"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Outcome: only OS was assessed in subgroup analysis, therefore comparing NET subtypes was more challenging however OS was significantly better in GEP NETs compared to any other primary site </w:t>
            </w:r>
          </w:p>
        </w:tc>
      </w:tr>
      <w:tr w:rsidR="00016A6E" w:rsidRPr="006868B4" w14:paraId="5A159C97" w14:textId="77777777" w:rsidTr="005F54BD">
        <w:trPr>
          <w:cantSplit/>
        </w:trPr>
        <w:tc>
          <w:tcPr>
            <w:tcW w:w="2127" w:type="dxa"/>
          </w:tcPr>
          <w:p w14:paraId="509223BE"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Marinello et al. 2016 </w:t>
            </w:r>
            <w:r>
              <w:rPr>
                <w:rFonts w:asciiTheme="minorHAnsi" w:hAnsiTheme="minorHAnsi" w:cstheme="minorHAnsi"/>
                <w:color w:val="000000" w:themeColor="text1"/>
                <w:sz w:val="20"/>
                <w:szCs w:val="20"/>
                <w:vertAlign w:val="superscript"/>
              </w:rPr>
              <w:t>(2</w:t>
            </w:r>
            <w:r w:rsidRPr="00966DFF">
              <w:rPr>
                <w:rFonts w:asciiTheme="minorHAnsi" w:hAnsiTheme="minorHAnsi" w:cstheme="minorHAnsi"/>
                <w:color w:val="000000" w:themeColor="text1"/>
                <w:sz w:val="20"/>
                <w:szCs w:val="20"/>
                <w:vertAlign w:val="superscript"/>
              </w:rPr>
              <w:t>2</w:t>
            </w:r>
            <w:r>
              <w:rPr>
                <w:rFonts w:asciiTheme="minorHAnsi" w:hAnsiTheme="minorHAnsi" w:cstheme="minorHAnsi"/>
                <w:color w:val="000000" w:themeColor="text1"/>
                <w:sz w:val="20"/>
                <w:szCs w:val="20"/>
                <w:vertAlign w:val="superscript"/>
              </w:rPr>
              <w:t>)</w:t>
            </w:r>
          </w:p>
          <w:p w14:paraId="1171FDBA" w14:textId="77777777" w:rsidR="00016A6E" w:rsidRDefault="00016A6E" w:rsidP="005F54BD">
            <w:pPr>
              <w:spacing w:line="276" w:lineRule="auto"/>
              <w:rPr>
                <w:rFonts w:asciiTheme="minorHAnsi" w:hAnsiTheme="minorHAnsi" w:cstheme="minorHAnsi"/>
                <w:color w:val="000000" w:themeColor="text1"/>
                <w:sz w:val="20"/>
                <w:szCs w:val="20"/>
              </w:rPr>
            </w:pPr>
          </w:p>
          <w:p w14:paraId="5D1F89E8"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Italy </w:t>
            </w:r>
          </w:p>
        </w:tc>
        <w:tc>
          <w:tcPr>
            <w:tcW w:w="1418" w:type="dxa"/>
          </w:tcPr>
          <w:p w14:paraId="1DFA721C"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Retrospective cohort study</w:t>
            </w:r>
          </w:p>
        </w:tc>
        <w:tc>
          <w:tcPr>
            <w:tcW w:w="2410" w:type="dxa"/>
          </w:tcPr>
          <w:p w14:paraId="2BF85412"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Total </w:t>
            </w:r>
            <w:r>
              <w:rPr>
                <w:rFonts w:asciiTheme="minorHAnsi" w:hAnsiTheme="minorHAnsi" w:cstheme="minorHAnsi"/>
                <w:color w:val="000000" w:themeColor="text1"/>
                <w:sz w:val="20"/>
                <w:szCs w:val="20"/>
              </w:rPr>
              <w:t>N</w:t>
            </w:r>
            <w:r w:rsidRPr="006868B4">
              <w:rPr>
                <w:rFonts w:asciiTheme="minorHAnsi" w:hAnsiTheme="minorHAnsi" w:cstheme="minorHAnsi"/>
                <w:color w:val="000000" w:themeColor="text1"/>
                <w:sz w:val="20"/>
                <w:szCs w:val="20"/>
              </w:rPr>
              <w:t xml:space="preserve"> = 114 </w:t>
            </w:r>
          </w:p>
          <w:p w14:paraId="70BDFD58"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43AD0BC2"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Unresectable or metastatic bronchopulmonary carcinoid</w:t>
            </w:r>
          </w:p>
        </w:tc>
        <w:tc>
          <w:tcPr>
            <w:tcW w:w="1984" w:type="dxa"/>
          </w:tcPr>
          <w:p w14:paraId="60A8F5CE"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Intervention: </w:t>
            </w: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Lu-DOTATATE</w:t>
            </w:r>
          </w:p>
          <w:p w14:paraId="4CEAC1FE"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Dose per cycle: 5.55GBq</w:t>
            </w:r>
          </w:p>
          <w:p w14:paraId="6521052A"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Number of cycles: 5 </w:t>
            </w:r>
          </w:p>
          <w:p w14:paraId="3ECFF892"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Total dose: 27.75GBq</w:t>
            </w:r>
          </w:p>
          <w:p w14:paraId="4B7FCA7C"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Interval between each cycle: </w:t>
            </w:r>
          </w:p>
          <w:p w14:paraId="0087E1E6"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OR </w:t>
            </w:r>
          </w:p>
          <w:p w14:paraId="77F1E8C7"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Intervention: </w:t>
            </w: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Lu-DOTATATE</w:t>
            </w:r>
          </w:p>
          <w:p w14:paraId="167C0B4A"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Dose per cycle: 3.7 GBq</w:t>
            </w:r>
          </w:p>
          <w:p w14:paraId="2FC9D19A"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Number of cycles: 8 </w:t>
            </w:r>
          </w:p>
          <w:p w14:paraId="6C7AD1DE"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Total dose: 29.6 GBq</w:t>
            </w:r>
          </w:p>
          <w:p w14:paraId="3ED21215"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Interval between each cycle: - </w:t>
            </w:r>
          </w:p>
          <w:p w14:paraId="1C0C80C7"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26B52145"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Intervention: </w:t>
            </w: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 xml:space="preserve">Lu-DOTATATE + </w:t>
            </w:r>
            <w:r w:rsidRPr="006868B4">
              <w:rPr>
                <w:rFonts w:asciiTheme="minorHAnsi" w:hAnsiTheme="minorHAnsi" w:cstheme="minorHAnsi"/>
                <w:color w:val="000000" w:themeColor="text1"/>
                <w:sz w:val="20"/>
                <w:szCs w:val="20"/>
                <w:vertAlign w:val="superscript"/>
              </w:rPr>
              <w:t>90</w:t>
            </w:r>
            <w:r w:rsidRPr="006868B4">
              <w:rPr>
                <w:rFonts w:asciiTheme="minorHAnsi" w:hAnsiTheme="minorHAnsi" w:cstheme="minorHAnsi"/>
                <w:color w:val="000000" w:themeColor="text1"/>
                <w:sz w:val="20"/>
                <w:szCs w:val="20"/>
              </w:rPr>
              <w:t xml:space="preserve">Y DOTATOC </w:t>
            </w:r>
          </w:p>
          <w:p w14:paraId="0DCA18C7"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Dose per cycle: -</w:t>
            </w:r>
          </w:p>
          <w:p w14:paraId="1D25536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Number of cycles: -</w:t>
            </w:r>
          </w:p>
          <w:p w14:paraId="3BFE3AD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Total dose: 13.213 ± 6.623 </w:t>
            </w: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 xml:space="preserve">Lu-DOTATATE + 6.849 ± 4.346 </w:t>
            </w:r>
            <w:r w:rsidRPr="006868B4">
              <w:rPr>
                <w:rFonts w:asciiTheme="minorHAnsi" w:hAnsiTheme="minorHAnsi" w:cstheme="minorHAnsi"/>
                <w:color w:val="000000" w:themeColor="text1"/>
                <w:sz w:val="20"/>
                <w:szCs w:val="20"/>
                <w:vertAlign w:val="superscript"/>
              </w:rPr>
              <w:t>90</w:t>
            </w:r>
            <w:r w:rsidRPr="006868B4">
              <w:rPr>
                <w:rFonts w:asciiTheme="minorHAnsi" w:hAnsiTheme="minorHAnsi" w:cstheme="minorHAnsi"/>
                <w:color w:val="000000" w:themeColor="text1"/>
                <w:sz w:val="20"/>
                <w:szCs w:val="20"/>
              </w:rPr>
              <w:t>Y DOTATOC</w:t>
            </w:r>
          </w:p>
          <w:p w14:paraId="232507F4"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Interval between each cycle: 6-9 weeks </w:t>
            </w:r>
          </w:p>
          <w:p w14:paraId="5EAEE30C" w14:textId="77777777" w:rsidR="00016A6E" w:rsidRPr="006868B4" w:rsidRDefault="00016A6E" w:rsidP="005F54BD">
            <w:pPr>
              <w:spacing w:line="276" w:lineRule="auto"/>
              <w:rPr>
                <w:rFonts w:asciiTheme="minorHAnsi" w:hAnsiTheme="minorHAnsi" w:cstheme="minorHAnsi"/>
                <w:color w:val="000000" w:themeColor="text1"/>
                <w:sz w:val="20"/>
                <w:szCs w:val="20"/>
              </w:rPr>
            </w:pPr>
          </w:p>
        </w:tc>
        <w:tc>
          <w:tcPr>
            <w:tcW w:w="1701" w:type="dxa"/>
          </w:tcPr>
          <w:p w14:paraId="7649212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Primary endpoint: median PFS [months], objective responses, median OS [months]</w:t>
            </w:r>
          </w:p>
        </w:tc>
        <w:tc>
          <w:tcPr>
            <w:tcW w:w="2410" w:type="dxa"/>
          </w:tcPr>
          <w:p w14:paraId="6E8A5858"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 xml:space="preserve">Lu-DOTATATE group: </w:t>
            </w:r>
          </w:p>
          <w:p w14:paraId="4C6C0D32"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Disease control (75%)</w:t>
            </w:r>
          </w:p>
          <w:p w14:paraId="68432049"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Five-year OS (61.4%)</w:t>
            </w:r>
          </w:p>
          <w:p w14:paraId="723A8AA6"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Minor response (16.7%)</w:t>
            </w:r>
          </w:p>
          <w:p w14:paraId="4AE6055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Objective response (29.2%)</w:t>
            </w:r>
          </w:p>
          <w:p w14:paraId="7568420E"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Partial disease (12.5%)</w:t>
            </w:r>
          </w:p>
          <w:p w14:paraId="3BBB16A9"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PFS 3 years after PRRT (39.8%)</w:t>
            </w:r>
          </w:p>
          <w:p w14:paraId="136129B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Stable disease (45.8%)</w:t>
            </w:r>
          </w:p>
          <w:p w14:paraId="118AF10F"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1A4E852C"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 xml:space="preserve">Lu-DOTATATE + </w:t>
            </w:r>
            <w:r w:rsidRPr="006868B4">
              <w:rPr>
                <w:rFonts w:asciiTheme="minorHAnsi" w:hAnsiTheme="minorHAnsi" w:cstheme="minorHAnsi"/>
                <w:color w:val="000000" w:themeColor="text1"/>
                <w:sz w:val="20"/>
                <w:szCs w:val="20"/>
                <w:vertAlign w:val="superscript"/>
              </w:rPr>
              <w:t>90</w:t>
            </w:r>
            <w:r w:rsidRPr="006868B4">
              <w:rPr>
                <w:rFonts w:asciiTheme="minorHAnsi" w:hAnsiTheme="minorHAnsi" w:cstheme="minorHAnsi"/>
                <w:color w:val="000000" w:themeColor="text1"/>
                <w:sz w:val="20"/>
                <w:szCs w:val="20"/>
              </w:rPr>
              <w:t>Y DOTATOC</w:t>
            </w:r>
            <w:r>
              <w:rPr>
                <w:rFonts w:asciiTheme="minorHAnsi" w:hAnsiTheme="minorHAnsi" w:cstheme="minorHAnsi"/>
                <w:color w:val="000000" w:themeColor="text1"/>
                <w:sz w:val="20"/>
                <w:szCs w:val="20"/>
              </w:rPr>
              <w:t>:</w:t>
            </w:r>
            <w:r w:rsidRPr="006868B4">
              <w:rPr>
                <w:rFonts w:asciiTheme="minorHAnsi" w:hAnsiTheme="minorHAnsi" w:cstheme="minorHAnsi"/>
                <w:color w:val="000000" w:themeColor="text1"/>
                <w:sz w:val="20"/>
                <w:szCs w:val="20"/>
              </w:rPr>
              <w:t xml:space="preserve"> </w:t>
            </w:r>
          </w:p>
          <w:p w14:paraId="5157AFB7"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Disease control (76.2%)</w:t>
            </w:r>
          </w:p>
          <w:p w14:paraId="2BFCEB4E"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Five-year OS (61.4%)</w:t>
            </w:r>
          </w:p>
          <w:p w14:paraId="20DBD16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Minor response (14.3%)</w:t>
            </w:r>
          </w:p>
          <w:p w14:paraId="2BFDFE04"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Objective response (38.1%)</w:t>
            </w:r>
          </w:p>
          <w:p w14:paraId="4A06BADE"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Partial response (23.8%)</w:t>
            </w:r>
          </w:p>
          <w:p w14:paraId="7F3BA133"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PFS 3 years after PRRT (46.2.%)</w:t>
            </w:r>
          </w:p>
          <w:p w14:paraId="2DA41777"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Stable disease (38.1%)</w:t>
            </w:r>
          </w:p>
          <w:p w14:paraId="0B25067A" w14:textId="77777777" w:rsidR="00016A6E" w:rsidRPr="006868B4" w:rsidRDefault="00016A6E" w:rsidP="005F54BD">
            <w:pPr>
              <w:spacing w:line="276" w:lineRule="auto"/>
              <w:rPr>
                <w:rFonts w:asciiTheme="minorHAnsi" w:hAnsiTheme="minorHAnsi" w:cstheme="minorHAnsi"/>
                <w:color w:val="000000" w:themeColor="text1"/>
                <w:sz w:val="20"/>
                <w:szCs w:val="20"/>
              </w:rPr>
            </w:pPr>
          </w:p>
        </w:tc>
        <w:tc>
          <w:tcPr>
            <w:tcW w:w="2693" w:type="dxa"/>
          </w:tcPr>
          <w:p w14:paraId="26762C6C"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Study design: a non-randomised study, which analysed pre-existing data, leading to the risk of bias. Randomised studies on PRRT vs other therapies are necessary to fully assess impact on PFS and OS</w:t>
            </w:r>
          </w:p>
          <w:p w14:paraId="1E92E442"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044B7439"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Intervention: </w:t>
            </w:r>
            <w:proofErr w:type="gramStart"/>
            <w:r w:rsidRPr="006868B4">
              <w:rPr>
                <w:rFonts w:asciiTheme="minorHAnsi" w:hAnsiTheme="minorHAnsi" w:cstheme="minorHAnsi"/>
                <w:color w:val="000000" w:themeColor="text1"/>
                <w:sz w:val="20"/>
                <w:szCs w:val="20"/>
              </w:rPr>
              <w:t>20 year</w:t>
            </w:r>
            <w:proofErr w:type="gramEnd"/>
            <w:r w:rsidRPr="006868B4">
              <w:rPr>
                <w:rFonts w:asciiTheme="minorHAnsi" w:hAnsiTheme="minorHAnsi" w:cstheme="minorHAnsi"/>
                <w:color w:val="000000" w:themeColor="text1"/>
                <w:sz w:val="20"/>
                <w:szCs w:val="20"/>
              </w:rPr>
              <w:t xml:space="preserve"> data collection period </w:t>
            </w:r>
          </w:p>
          <w:p w14:paraId="5DB663AE"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391AF429"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Comparing other trials and data must be carried out carefully due to differing dosages and cycles </w:t>
            </w:r>
          </w:p>
        </w:tc>
      </w:tr>
      <w:tr w:rsidR="00016A6E" w:rsidRPr="006868B4" w14:paraId="6138329C" w14:textId="77777777" w:rsidTr="005F54BD">
        <w:trPr>
          <w:cantSplit/>
        </w:trPr>
        <w:tc>
          <w:tcPr>
            <w:tcW w:w="2127" w:type="dxa"/>
          </w:tcPr>
          <w:p w14:paraId="0A252294"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Singh et al. 2024 </w:t>
            </w:r>
            <w:r>
              <w:rPr>
                <w:rFonts w:asciiTheme="minorHAnsi" w:hAnsiTheme="minorHAnsi" w:cstheme="minorHAnsi"/>
                <w:color w:val="000000" w:themeColor="text1"/>
                <w:sz w:val="20"/>
                <w:szCs w:val="20"/>
                <w:vertAlign w:val="superscript"/>
              </w:rPr>
              <w:t>(3</w:t>
            </w:r>
            <w:r w:rsidRPr="00966DFF">
              <w:rPr>
                <w:rFonts w:asciiTheme="minorHAnsi" w:hAnsiTheme="minorHAnsi" w:cstheme="minorHAnsi"/>
                <w:color w:val="000000" w:themeColor="text1"/>
                <w:sz w:val="20"/>
                <w:szCs w:val="20"/>
                <w:vertAlign w:val="superscript"/>
              </w:rPr>
              <w:t>0</w:t>
            </w:r>
            <w:r>
              <w:rPr>
                <w:rFonts w:asciiTheme="minorHAnsi" w:hAnsiTheme="minorHAnsi" w:cstheme="minorHAnsi"/>
                <w:color w:val="000000" w:themeColor="text1"/>
                <w:sz w:val="20"/>
                <w:szCs w:val="20"/>
                <w:vertAlign w:val="superscript"/>
              </w:rPr>
              <w:t>)</w:t>
            </w:r>
          </w:p>
          <w:p w14:paraId="4DAC3373" w14:textId="77777777" w:rsidR="00016A6E" w:rsidRDefault="00016A6E" w:rsidP="005F54BD">
            <w:pPr>
              <w:spacing w:line="276" w:lineRule="auto"/>
              <w:rPr>
                <w:rFonts w:asciiTheme="minorHAnsi" w:hAnsiTheme="minorHAnsi" w:cstheme="minorHAnsi"/>
                <w:color w:val="000000" w:themeColor="text1"/>
                <w:sz w:val="20"/>
                <w:szCs w:val="20"/>
              </w:rPr>
            </w:pPr>
          </w:p>
          <w:p w14:paraId="623E98A5"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Canada </w:t>
            </w:r>
          </w:p>
          <w:p w14:paraId="1672D1ED"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France</w:t>
            </w:r>
          </w:p>
          <w:p w14:paraId="4DEC3EB9"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Germany </w:t>
            </w:r>
          </w:p>
          <w:p w14:paraId="7B2F1FF0"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Italy</w:t>
            </w:r>
          </w:p>
          <w:p w14:paraId="59E92722"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Korea</w:t>
            </w:r>
          </w:p>
          <w:p w14:paraId="608F2163"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Netherlands </w:t>
            </w:r>
          </w:p>
          <w:p w14:paraId="6E00AB3A"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Spain</w:t>
            </w:r>
          </w:p>
          <w:p w14:paraId="2AB5CF3A"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United Kingdom</w:t>
            </w:r>
          </w:p>
          <w:p w14:paraId="1BDBA0FD"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United States</w:t>
            </w:r>
          </w:p>
        </w:tc>
        <w:tc>
          <w:tcPr>
            <w:tcW w:w="1418" w:type="dxa"/>
          </w:tcPr>
          <w:p w14:paraId="53BBD73C"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NETTER- 2</w:t>
            </w:r>
          </w:p>
          <w:p w14:paraId="683D0404" w14:textId="77777777" w:rsidR="00016A6E" w:rsidRPr="006868B4" w:rsidRDefault="00016A6E" w:rsidP="005F54BD">
            <w:pPr>
              <w:spacing w:line="276" w:lineRule="auto"/>
              <w:rPr>
                <w:rFonts w:asciiTheme="minorHAnsi" w:hAnsiTheme="minorHAnsi" w:cstheme="minorHAnsi"/>
                <w:color w:val="000000" w:themeColor="text1"/>
                <w:sz w:val="20"/>
                <w:szCs w:val="20"/>
              </w:rPr>
            </w:pPr>
            <w:proofErr w:type="gramStart"/>
            <w:r w:rsidRPr="006868B4">
              <w:rPr>
                <w:rFonts w:asciiTheme="minorHAnsi" w:hAnsiTheme="minorHAnsi" w:cstheme="minorHAnsi"/>
                <w:color w:val="000000" w:themeColor="text1"/>
                <w:sz w:val="20"/>
                <w:szCs w:val="20"/>
              </w:rPr>
              <w:t>Open-label</w:t>
            </w:r>
            <w:proofErr w:type="gramEnd"/>
            <w:r w:rsidRPr="006868B4">
              <w:rPr>
                <w:rFonts w:asciiTheme="minorHAnsi" w:hAnsiTheme="minorHAnsi" w:cstheme="minorHAnsi"/>
                <w:color w:val="000000" w:themeColor="text1"/>
                <w:sz w:val="20"/>
                <w:szCs w:val="20"/>
              </w:rPr>
              <w:t xml:space="preserve"> randomised, phase III trial</w:t>
            </w:r>
          </w:p>
        </w:tc>
        <w:tc>
          <w:tcPr>
            <w:tcW w:w="2410" w:type="dxa"/>
          </w:tcPr>
          <w:p w14:paraId="07D00AE3"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Total </w:t>
            </w:r>
            <w:r>
              <w:rPr>
                <w:rFonts w:asciiTheme="minorHAnsi" w:hAnsiTheme="minorHAnsi" w:cstheme="minorHAnsi"/>
                <w:color w:val="000000" w:themeColor="text1"/>
                <w:sz w:val="20"/>
                <w:szCs w:val="20"/>
              </w:rPr>
              <w:t>N</w:t>
            </w:r>
            <w:r w:rsidRPr="006868B4">
              <w:rPr>
                <w:rFonts w:asciiTheme="minorHAnsi" w:hAnsiTheme="minorHAnsi" w:cstheme="minorHAnsi"/>
                <w:color w:val="000000" w:themeColor="text1"/>
                <w:sz w:val="20"/>
                <w:szCs w:val="20"/>
              </w:rPr>
              <w:t xml:space="preserve">= 261, </w:t>
            </w:r>
            <w:r>
              <w:rPr>
                <w:rFonts w:asciiTheme="minorHAnsi" w:hAnsiTheme="minorHAnsi" w:cstheme="minorHAnsi"/>
                <w:color w:val="000000" w:themeColor="text1"/>
                <w:sz w:val="20"/>
                <w:szCs w:val="20"/>
              </w:rPr>
              <w:t>N</w:t>
            </w:r>
            <w:r w:rsidRPr="006868B4">
              <w:rPr>
                <w:rFonts w:asciiTheme="minorHAnsi" w:hAnsiTheme="minorHAnsi" w:cstheme="minorHAnsi"/>
                <w:color w:val="000000" w:themeColor="text1"/>
                <w:sz w:val="20"/>
                <w:szCs w:val="20"/>
              </w:rPr>
              <w:t xml:space="preserve">= 33 were excluded </w:t>
            </w:r>
          </w:p>
          <w:p w14:paraId="533E5C7D"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1A6EFFD4"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Metastatic or locally advanced, grade 2/3 well differentiated gastroenteropancreatic NETs</w:t>
            </w:r>
          </w:p>
        </w:tc>
        <w:tc>
          <w:tcPr>
            <w:tcW w:w="1984" w:type="dxa"/>
          </w:tcPr>
          <w:p w14:paraId="2F592861"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Lu-DOTATATE group: Control group (2:1)</w:t>
            </w:r>
          </w:p>
          <w:p w14:paraId="0A6EEC34"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5C684DFF"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Lu-DOTATATE group:</w:t>
            </w:r>
          </w:p>
          <w:p w14:paraId="288517F0"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Intervention: </w:t>
            </w: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 xml:space="preserve">Lu-DOTATATE + </w:t>
            </w:r>
            <w:r>
              <w:rPr>
                <w:rFonts w:asciiTheme="minorHAnsi" w:hAnsiTheme="minorHAnsi" w:cstheme="minorHAnsi"/>
                <w:color w:val="000000" w:themeColor="text1"/>
                <w:sz w:val="20"/>
                <w:szCs w:val="20"/>
              </w:rPr>
              <w:t>O</w:t>
            </w:r>
            <w:r w:rsidRPr="006868B4">
              <w:rPr>
                <w:rFonts w:asciiTheme="minorHAnsi" w:hAnsiTheme="minorHAnsi" w:cstheme="minorHAnsi"/>
                <w:color w:val="000000" w:themeColor="text1"/>
                <w:sz w:val="20"/>
                <w:szCs w:val="20"/>
              </w:rPr>
              <w:t xml:space="preserve">ctreotide 30mg LAR </w:t>
            </w:r>
          </w:p>
          <w:p w14:paraId="14F42609"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Dose per cycle: 7.4 GBq</w:t>
            </w:r>
          </w:p>
          <w:p w14:paraId="7563E48F"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Number of cycles: 4 </w:t>
            </w:r>
          </w:p>
          <w:p w14:paraId="1444321F"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Total dose: 29.6 GBq</w:t>
            </w:r>
          </w:p>
          <w:p w14:paraId="17437F98"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Interval between each cycle: 8 weeks </w:t>
            </w:r>
          </w:p>
          <w:p w14:paraId="1382A3C4"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15D15CD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Control: </w:t>
            </w:r>
          </w:p>
          <w:p w14:paraId="1BE448C7"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w:t>
            </w:r>
            <w:r w:rsidRPr="006868B4">
              <w:rPr>
                <w:rFonts w:asciiTheme="minorHAnsi" w:hAnsiTheme="minorHAnsi" w:cstheme="minorHAnsi"/>
                <w:color w:val="000000" w:themeColor="text1"/>
                <w:sz w:val="20"/>
                <w:szCs w:val="20"/>
              </w:rPr>
              <w:t xml:space="preserve">ctreotide 60mg LAR </w:t>
            </w:r>
          </w:p>
          <w:p w14:paraId="1FC8C081"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Dose per cycle: 60mg</w:t>
            </w:r>
          </w:p>
          <w:p w14:paraId="738DCFE7"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Number of cycles: 4 </w:t>
            </w:r>
          </w:p>
          <w:p w14:paraId="226DD638"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Total dose: 240mg</w:t>
            </w:r>
          </w:p>
          <w:p w14:paraId="6ABFDB36"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Interval between each cycle: 4 weeks </w:t>
            </w:r>
          </w:p>
          <w:p w14:paraId="5D49A1A6"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6CCB40E2"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4C85074D" w14:textId="77777777" w:rsidR="00016A6E" w:rsidRPr="006868B4" w:rsidRDefault="00016A6E" w:rsidP="005F54BD">
            <w:pPr>
              <w:spacing w:line="276" w:lineRule="auto"/>
              <w:rPr>
                <w:rFonts w:asciiTheme="minorHAnsi" w:hAnsiTheme="minorHAnsi" w:cstheme="minorHAnsi"/>
                <w:color w:val="000000" w:themeColor="text1"/>
                <w:sz w:val="20"/>
                <w:szCs w:val="20"/>
              </w:rPr>
            </w:pPr>
          </w:p>
        </w:tc>
        <w:tc>
          <w:tcPr>
            <w:tcW w:w="1701" w:type="dxa"/>
          </w:tcPr>
          <w:p w14:paraId="2675EFB6"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Primary endpoint: median PFS [months] </w:t>
            </w:r>
          </w:p>
          <w:p w14:paraId="1579F1AF"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023994E1"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Secondary endpoints: objective response rate, partial response rate, disease control rate</w:t>
            </w:r>
          </w:p>
        </w:tc>
        <w:tc>
          <w:tcPr>
            <w:tcW w:w="2410" w:type="dxa"/>
          </w:tcPr>
          <w:p w14:paraId="76112818"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 xml:space="preserve">Lu-DOTATATE group: </w:t>
            </w:r>
          </w:p>
          <w:p w14:paraId="0B3C0EF2"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Complete response (5%)</w:t>
            </w:r>
          </w:p>
          <w:p w14:paraId="1A160573"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Disease control rate (90.7%) </w:t>
            </w:r>
          </w:p>
          <w:p w14:paraId="59DBD4B5"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Non progressive disease (0%)</w:t>
            </w:r>
          </w:p>
          <w:p w14:paraId="617C0BFA"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Objective response rate (43%)</w:t>
            </w:r>
          </w:p>
          <w:p w14:paraId="6EE4690F"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Partial response (38%)</w:t>
            </w:r>
          </w:p>
          <w:p w14:paraId="4B9F4C39"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Progressive disease (5%)</w:t>
            </w:r>
          </w:p>
          <w:p w14:paraId="393C1693"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PFS (median): 22.8 months </w:t>
            </w:r>
          </w:p>
          <w:p w14:paraId="513AE682"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Stable disease (48%)</w:t>
            </w:r>
          </w:p>
          <w:p w14:paraId="5BA9F2A6"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Unknown (4%)</w:t>
            </w:r>
          </w:p>
          <w:p w14:paraId="21CEB9F3"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12C06B7C"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Control group</w:t>
            </w:r>
            <w:r>
              <w:rPr>
                <w:rFonts w:asciiTheme="minorHAnsi" w:hAnsiTheme="minorHAnsi" w:cstheme="minorHAnsi"/>
                <w:color w:val="000000" w:themeColor="text1"/>
                <w:sz w:val="20"/>
                <w:szCs w:val="20"/>
              </w:rPr>
              <w:t>:</w:t>
            </w:r>
            <w:r w:rsidRPr="006868B4">
              <w:rPr>
                <w:rFonts w:asciiTheme="minorHAnsi" w:hAnsiTheme="minorHAnsi" w:cstheme="minorHAnsi"/>
                <w:color w:val="000000" w:themeColor="text1"/>
                <w:sz w:val="20"/>
                <w:szCs w:val="20"/>
              </w:rPr>
              <w:t xml:space="preserve"> </w:t>
            </w:r>
          </w:p>
          <w:p w14:paraId="7AE81D1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Complete response (0%)</w:t>
            </w:r>
          </w:p>
          <w:p w14:paraId="35B18354"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Disease control rate (66.7%)</w:t>
            </w:r>
          </w:p>
          <w:p w14:paraId="7608045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Non progressive disease (0%)</w:t>
            </w:r>
          </w:p>
          <w:p w14:paraId="2C9C04E8"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Objective response rate (9.3%)</w:t>
            </w:r>
          </w:p>
          <w:p w14:paraId="7874F6D8"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Partial response (9%)</w:t>
            </w:r>
          </w:p>
          <w:p w14:paraId="3A2EB002"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Progressive disease (19%)</w:t>
            </w:r>
          </w:p>
          <w:p w14:paraId="2C231A2A"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PFS (median): 8.5 months </w:t>
            </w:r>
          </w:p>
          <w:p w14:paraId="59AF8424"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Stable disease (56%)</w:t>
            </w:r>
          </w:p>
          <w:p w14:paraId="3D6D2C79"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Unknown (15%)</w:t>
            </w:r>
          </w:p>
          <w:p w14:paraId="204FFE2B" w14:textId="77777777" w:rsidR="00016A6E" w:rsidRPr="006868B4" w:rsidRDefault="00016A6E" w:rsidP="005F54BD">
            <w:pPr>
              <w:spacing w:line="276" w:lineRule="auto"/>
              <w:rPr>
                <w:rFonts w:asciiTheme="minorHAnsi" w:hAnsiTheme="minorHAnsi" w:cstheme="minorHAnsi"/>
                <w:color w:val="000000" w:themeColor="text1"/>
                <w:sz w:val="20"/>
                <w:szCs w:val="20"/>
              </w:rPr>
            </w:pPr>
          </w:p>
        </w:tc>
        <w:tc>
          <w:tcPr>
            <w:tcW w:w="2693" w:type="dxa"/>
          </w:tcPr>
          <w:p w14:paraId="37D673CA"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Outcome: currently no OS data available for the NETTER-2 trial as still ongoing for long term patient follow up and overall survival analysis </w:t>
            </w:r>
          </w:p>
          <w:p w14:paraId="3924E0C1"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56CF13D2"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Research design and intervention: differences in administration methods between treatments and the need for radiation exposure precautions, the study was designed to be open label. Bias was mitigated through the blinded central review of imaging data </w:t>
            </w:r>
          </w:p>
        </w:tc>
      </w:tr>
      <w:tr w:rsidR="00016A6E" w:rsidRPr="006868B4" w14:paraId="25C11EDC" w14:textId="77777777" w:rsidTr="005F54BD">
        <w:trPr>
          <w:cantSplit/>
        </w:trPr>
        <w:tc>
          <w:tcPr>
            <w:tcW w:w="2127" w:type="dxa"/>
          </w:tcPr>
          <w:p w14:paraId="43FA63E9"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Strosberg et al. (2021)</w:t>
            </w:r>
            <w:r w:rsidRPr="00966DFF">
              <w:rPr>
                <w:rFonts w:asciiTheme="minorHAnsi" w:hAnsiTheme="minorHAnsi" w:cstheme="minorHAnsi"/>
                <w:color w:val="000000" w:themeColor="text1"/>
                <w:sz w:val="20"/>
                <w:szCs w:val="20"/>
                <w:vertAlign w:val="superscript"/>
              </w:rPr>
              <w:t>34</w:t>
            </w:r>
          </w:p>
          <w:p w14:paraId="77D7C84B" w14:textId="77777777" w:rsidR="00016A6E" w:rsidRDefault="00016A6E" w:rsidP="005F54BD">
            <w:pPr>
              <w:spacing w:line="276" w:lineRule="auto"/>
              <w:rPr>
                <w:rFonts w:asciiTheme="minorHAnsi" w:hAnsiTheme="minorHAnsi" w:cstheme="minorHAnsi"/>
                <w:color w:val="000000" w:themeColor="text1"/>
                <w:sz w:val="20"/>
                <w:szCs w:val="20"/>
              </w:rPr>
            </w:pPr>
          </w:p>
          <w:p w14:paraId="2C2BDF9B"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Belgium</w:t>
            </w:r>
          </w:p>
          <w:p w14:paraId="2A2E089D"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France</w:t>
            </w:r>
          </w:p>
          <w:p w14:paraId="430D3791"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Germany</w:t>
            </w:r>
          </w:p>
          <w:p w14:paraId="6D1988EB"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Italy</w:t>
            </w:r>
          </w:p>
          <w:p w14:paraId="07A69802"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Portugal</w:t>
            </w:r>
          </w:p>
          <w:p w14:paraId="1D22494A"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Spain</w:t>
            </w:r>
          </w:p>
          <w:p w14:paraId="47625713" w14:textId="77777777" w:rsidR="00016A6E"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United Kingdom</w:t>
            </w:r>
          </w:p>
          <w:p w14:paraId="22B360C6"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United States </w:t>
            </w:r>
          </w:p>
        </w:tc>
        <w:tc>
          <w:tcPr>
            <w:tcW w:w="1418" w:type="dxa"/>
          </w:tcPr>
          <w:p w14:paraId="569462D8"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NETTER- 1</w:t>
            </w:r>
          </w:p>
          <w:p w14:paraId="15A0ED49" w14:textId="77777777" w:rsidR="00016A6E" w:rsidRPr="006868B4" w:rsidRDefault="00016A6E" w:rsidP="005F54BD">
            <w:pPr>
              <w:spacing w:line="276" w:lineRule="auto"/>
              <w:rPr>
                <w:rFonts w:asciiTheme="minorHAnsi" w:hAnsiTheme="minorHAnsi" w:cstheme="minorHAnsi"/>
                <w:color w:val="000000" w:themeColor="text1"/>
                <w:sz w:val="20"/>
                <w:szCs w:val="20"/>
              </w:rPr>
            </w:pPr>
            <w:proofErr w:type="gramStart"/>
            <w:r w:rsidRPr="006868B4">
              <w:rPr>
                <w:rFonts w:asciiTheme="minorHAnsi" w:hAnsiTheme="minorHAnsi" w:cstheme="minorHAnsi"/>
                <w:color w:val="000000" w:themeColor="text1"/>
                <w:sz w:val="20"/>
                <w:szCs w:val="20"/>
              </w:rPr>
              <w:t>Open-label</w:t>
            </w:r>
            <w:proofErr w:type="gramEnd"/>
            <w:r w:rsidRPr="006868B4">
              <w:rPr>
                <w:rFonts w:asciiTheme="minorHAnsi" w:hAnsiTheme="minorHAnsi" w:cstheme="minorHAnsi"/>
                <w:color w:val="000000" w:themeColor="text1"/>
                <w:sz w:val="20"/>
                <w:szCs w:val="20"/>
              </w:rPr>
              <w:t xml:space="preserve"> randomised, phase III trial</w:t>
            </w:r>
          </w:p>
        </w:tc>
        <w:tc>
          <w:tcPr>
            <w:tcW w:w="2410" w:type="dxa"/>
          </w:tcPr>
          <w:p w14:paraId="59BBC3D0" w14:textId="77777777" w:rsidR="00016A6E"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Total </w:t>
            </w:r>
            <w:r>
              <w:rPr>
                <w:rFonts w:asciiTheme="minorHAnsi" w:hAnsiTheme="minorHAnsi" w:cstheme="minorHAnsi"/>
                <w:color w:val="000000" w:themeColor="text1"/>
                <w:sz w:val="20"/>
                <w:szCs w:val="20"/>
              </w:rPr>
              <w:t>N</w:t>
            </w:r>
            <w:r w:rsidRPr="006868B4">
              <w:rPr>
                <w:rFonts w:asciiTheme="minorHAnsi" w:hAnsiTheme="minorHAnsi" w:cstheme="minorHAnsi"/>
                <w:color w:val="000000" w:themeColor="text1"/>
                <w:sz w:val="20"/>
                <w:szCs w:val="20"/>
              </w:rPr>
              <w:t>= 231</w:t>
            </w:r>
          </w:p>
          <w:p w14:paraId="1353E88B"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150CD824"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Advanced, inoperable, well differentiated midgut NETs</w:t>
            </w:r>
          </w:p>
          <w:p w14:paraId="28CCA709"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4E30C276"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3FA0F991"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1D92FB35"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2ABBD754"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03407867"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5B57B473"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4EB27FFD"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30E4E015"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577550EE"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4AAEA95B"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29A3DB4E"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0E21119C"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25AD5215"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0532C341"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07793D01"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5125FF2B"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39BAEA1D"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52B43E0A" w14:textId="77777777" w:rsidR="00016A6E" w:rsidRPr="006868B4" w:rsidRDefault="00016A6E" w:rsidP="005F54BD">
            <w:pPr>
              <w:spacing w:line="276" w:lineRule="auto"/>
              <w:ind w:firstLine="720"/>
              <w:rPr>
                <w:rFonts w:asciiTheme="minorHAnsi" w:hAnsiTheme="minorHAnsi" w:cstheme="minorHAnsi"/>
                <w:color w:val="000000" w:themeColor="text1"/>
                <w:sz w:val="20"/>
                <w:szCs w:val="20"/>
              </w:rPr>
            </w:pPr>
          </w:p>
        </w:tc>
        <w:tc>
          <w:tcPr>
            <w:tcW w:w="1984" w:type="dxa"/>
          </w:tcPr>
          <w:p w14:paraId="67BCE7D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Lu-DOTATATE group: Control group (1:1)</w:t>
            </w:r>
          </w:p>
          <w:p w14:paraId="5517E825"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1131ABA3"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Lu-DOTATATE group:</w:t>
            </w:r>
          </w:p>
          <w:p w14:paraId="399237A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Intervention: </w:t>
            </w: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 xml:space="preserve">Lu-DOTATATE + octreotide 30mg LAR </w:t>
            </w:r>
          </w:p>
          <w:p w14:paraId="396EA8D0"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Dose per cycle: 7.4 GBq</w:t>
            </w:r>
          </w:p>
          <w:p w14:paraId="654EF98B"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Number of cycles: 4 </w:t>
            </w:r>
          </w:p>
          <w:p w14:paraId="21C83C5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Total dose: 29.6 GBq</w:t>
            </w:r>
          </w:p>
          <w:p w14:paraId="19C080B9"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Interval between each cycle: 8 weeks </w:t>
            </w:r>
          </w:p>
          <w:p w14:paraId="0916F0E2"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5023C001"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Control: </w:t>
            </w:r>
          </w:p>
          <w:p w14:paraId="0689BF28"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w:t>
            </w:r>
            <w:r w:rsidRPr="006868B4">
              <w:rPr>
                <w:rFonts w:asciiTheme="minorHAnsi" w:hAnsiTheme="minorHAnsi" w:cstheme="minorHAnsi"/>
                <w:color w:val="000000" w:themeColor="text1"/>
                <w:sz w:val="20"/>
                <w:szCs w:val="20"/>
              </w:rPr>
              <w:t xml:space="preserve">ctreotide 60mg LAR </w:t>
            </w:r>
          </w:p>
          <w:p w14:paraId="6D771E5F"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Dose per cycle: 60mg</w:t>
            </w:r>
          </w:p>
          <w:p w14:paraId="0DD50F3C"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Number of cycles: 4 </w:t>
            </w:r>
          </w:p>
          <w:p w14:paraId="41B639DA"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Total dose: 240mg</w:t>
            </w:r>
          </w:p>
          <w:p w14:paraId="06D63DDC"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Interval between each cycle: 4 weeks </w:t>
            </w:r>
          </w:p>
          <w:p w14:paraId="640FD658" w14:textId="77777777" w:rsidR="00016A6E" w:rsidRPr="006868B4" w:rsidRDefault="00016A6E" w:rsidP="005F54BD">
            <w:pPr>
              <w:spacing w:line="276" w:lineRule="auto"/>
              <w:rPr>
                <w:rFonts w:asciiTheme="minorHAnsi" w:hAnsiTheme="minorHAnsi" w:cstheme="minorHAnsi"/>
                <w:color w:val="000000" w:themeColor="text1"/>
                <w:sz w:val="20"/>
                <w:szCs w:val="20"/>
              </w:rPr>
            </w:pPr>
          </w:p>
        </w:tc>
        <w:tc>
          <w:tcPr>
            <w:tcW w:w="1701" w:type="dxa"/>
          </w:tcPr>
          <w:p w14:paraId="4E9EDB5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Primary endpoint: median PFS [months] and median OS [months]</w:t>
            </w:r>
          </w:p>
        </w:tc>
        <w:tc>
          <w:tcPr>
            <w:tcW w:w="2410" w:type="dxa"/>
          </w:tcPr>
          <w:p w14:paraId="3F52601E"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 xml:space="preserve">Lu-DOTATATE group: </w:t>
            </w:r>
          </w:p>
          <w:p w14:paraId="563E36D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OS: 48 months</w:t>
            </w:r>
          </w:p>
          <w:p w14:paraId="2BCB9F91"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1 year (91%)</w:t>
            </w:r>
          </w:p>
          <w:p w14:paraId="3DB54B01"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2 years (76%)</w:t>
            </w:r>
          </w:p>
          <w:p w14:paraId="6F0B2A38"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3 years (61.4%)</w:t>
            </w:r>
          </w:p>
          <w:p w14:paraId="1A5FA3C7"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4 years (49.5%)</w:t>
            </w:r>
          </w:p>
          <w:p w14:paraId="621ABF77"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5 years (37.1%)</w:t>
            </w:r>
          </w:p>
          <w:p w14:paraId="37301E95" w14:textId="77777777" w:rsidR="00016A6E" w:rsidRPr="006868B4" w:rsidRDefault="00016A6E" w:rsidP="005F54BD">
            <w:pPr>
              <w:spacing w:line="276" w:lineRule="auto"/>
              <w:rPr>
                <w:rFonts w:asciiTheme="minorHAnsi" w:hAnsiTheme="minorHAnsi" w:cstheme="minorHAnsi"/>
                <w:color w:val="000000" w:themeColor="text1"/>
                <w:sz w:val="20"/>
                <w:szCs w:val="20"/>
              </w:rPr>
            </w:pPr>
          </w:p>
          <w:p w14:paraId="4C12189D"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Control group:</w:t>
            </w:r>
          </w:p>
          <w:p w14:paraId="6D471ABF"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OS: 36.3 months</w:t>
            </w:r>
          </w:p>
          <w:p w14:paraId="5BD9F7D0"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1 year (79.7%)</w:t>
            </w:r>
          </w:p>
          <w:p w14:paraId="5404CC17"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2 years (62.7%)</w:t>
            </w:r>
          </w:p>
          <w:p w14:paraId="57166CEA"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3 years (50.1%)</w:t>
            </w:r>
          </w:p>
          <w:p w14:paraId="125D2FB1"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4 years (41.8%)</w:t>
            </w:r>
          </w:p>
          <w:p w14:paraId="1BFB553F" w14:textId="77777777" w:rsidR="00016A6E" w:rsidRPr="006868B4"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5 years (35.4%)</w:t>
            </w:r>
          </w:p>
        </w:tc>
        <w:tc>
          <w:tcPr>
            <w:tcW w:w="2693" w:type="dxa"/>
          </w:tcPr>
          <w:p w14:paraId="1402115B" w14:textId="77777777" w:rsidR="00016A6E" w:rsidRDefault="00016A6E" w:rsidP="005F54BD">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Outcome: other co-founding factors were present, other subsequent anticancer treatments had been used extended survival in a large subpopulation of patients regardless of their randomly assigned treatment and missing data (20% of patients were censored because of consent withdrawal or loss to follow up)</w:t>
            </w:r>
          </w:p>
          <w:p w14:paraId="2E607DC4" w14:textId="77777777" w:rsidR="00016A6E" w:rsidRDefault="00016A6E" w:rsidP="005F54BD">
            <w:pPr>
              <w:spacing w:line="276" w:lineRule="auto"/>
              <w:rPr>
                <w:rFonts w:asciiTheme="minorHAnsi" w:hAnsiTheme="minorHAnsi" w:cstheme="minorHAnsi"/>
                <w:color w:val="000000" w:themeColor="text1"/>
                <w:sz w:val="20"/>
                <w:szCs w:val="20"/>
              </w:rPr>
            </w:pPr>
          </w:p>
          <w:p w14:paraId="46C59A66" w14:textId="77777777" w:rsidR="00016A6E" w:rsidRPr="006868B4" w:rsidRDefault="00016A6E" w:rsidP="005F54BD">
            <w:pPr>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Initial analysis from NETTER-1 reported the PFS at month 20. </w:t>
            </w:r>
            <w:r w:rsidRPr="006868B4">
              <w:rPr>
                <w:rFonts w:asciiTheme="minorHAnsi" w:hAnsiTheme="minorHAnsi" w:cstheme="minorHAnsi"/>
                <w:color w:val="000000" w:themeColor="text1"/>
                <w:sz w:val="20"/>
                <w:szCs w:val="20"/>
                <w:vertAlign w:val="superscript"/>
              </w:rPr>
              <w:t>177</w:t>
            </w:r>
            <w:r w:rsidRPr="006868B4">
              <w:rPr>
                <w:rFonts w:asciiTheme="minorHAnsi" w:hAnsiTheme="minorHAnsi" w:cstheme="minorHAnsi"/>
                <w:color w:val="000000" w:themeColor="text1"/>
                <w:sz w:val="20"/>
                <w:szCs w:val="20"/>
              </w:rPr>
              <w:t>Lu-DOTATATE group</w:t>
            </w:r>
            <w:r>
              <w:rPr>
                <w:rFonts w:asciiTheme="minorHAnsi" w:hAnsiTheme="minorHAnsi" w:cstheme="minorHAnsi"/>
                <w:color w:val="000000" w:themeColor="text1"/>
                <w:sz w:val="20"/>
                <w:szCs w:val="20"/>
              </w:rPr>
              <w:t xml:space="preserve"> (65.2%) and the control group (10.8%). These results were found through screening the report, to find the original article (Strosberg et al. 2017)</w:t>
            </w:r>
          </w:p>
        </w:tc>
      </w:tr>
      <w:tr w:rsidR="00016A6E" w:rsidRPr="006868B4" w14:paraId="614B0922" w14:textId="77777777" w:rsidTr="005F54BD">
        <w:trPr>
          <w:cantSplit/>
          <w:trHeight w:val="157"/>
        </w:trPr>
        <w:tc>
          <w:tcPr>
            <w:tcW w:w="14743" w:type="dxa"/>
            <w:gridSpan w:val="7"/>
            <w:shd w:val="clear" w:color="auto" w:fill="B4C6E7" w:themeFill="accent1" w:themeFillTint="66"/>
          </w:tcPr>
          <w:p w14:paraId="7CC9B5A9" w14:textId="77777777" w:rsidR="00016A6E" w:rsidRPr="006868B4" w:rsidRDefault="00016A6E" w:rsidP="005F54BD">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t xml:space="preserve">Abbreviations: </w:t>
            </w:r>
            <w:r>
              <w:rPr>
                <w:rFonts w:asciiTheme="minorHAnsi" w:hAnsiTheme="minorHAnsi" w:cstheme="minorHAnsi"/>
                <w:color w:val="000000" w:themeColor="text1"/>
                <w:sz w:val="20"/>
                <w:szCs w:val="20"/>
              </w:rPr>
              <w:t>g</w:t>
            </w:r>
            <w:r w:rsidRPr="006868B4">
              <w:rPr>
                <w:rFonts w:asciiTheme="minorHAnsi" w:hAnsiTheme="minorHAnsi" w:cstheme="minorHAnsi"/>
                <w:color w:val="000000" w:themeColor="text1"/>
                <w:sz w:val="20"/>
                <w:szCs w:val="20"/>
              </w:rPr>
              <w:t>astroenteropancreatic [GEP], gigabecquerel [GBq], overall survival [OS], peptide receptor radionuclide therapy [PRRT], progression free survival [PFS]</w:t>
            </w:r>
            <w:r>
              <w:rPr>
                <w:rFonts w:asciiTheme="minorHAnsi" w:hAnsiTheme="minorHAnsi" w:cstheme="minorHAnsi"/>
                <w:color w:val="000000" w:themeColor="text1"/>
                <w:sz w:val="20"/>
                <w:szCs w:val="20"/>
              </w:rPr>
              <w:t>, randomised controlled trials [RCTs]</w:t>
            </w:r>
          </w:p>
        </w:tc>
      </w:tr>
    </w:tbl>
    <w:p w14:paraId="16AA3732" w14:textId="77777777" w:rsidR="00016A6E" w:rsidRPr="006868B4" w:rsidRDefault="00016A6E" w:rsidP="00016A6E">
      <w:pPr>
        <w:rPr>
          <w:rFonts w:asciiTheme="minorHAnsi" w:hAnsiTheme="minorHAnsi" w:cstheme="minorHAnsi"/>
          <w:color w:val="000000" w:themeColor="text1"/>
          <w:sz w:val="20"/>
          <w:szCs w:val="20"/>
        </w:rPr>
      </w:pPr>
      <w:r w:rsidRPr="006868B4">
        <w:rPr>
          <w:rFonts w:asciiTheme="minorHAnsi" w:hAnsiTheme="minorHAnsi" w:cstheme="minorHAnsi"/>
          <w:color w:val="000000" w:themeColor="text1"/>
          <w:sz w:val="20"/>
          <w:szCs w:val="20"/>
        </w:rPr>
        <w:br w:type="page"/>
      </w:r>
    </w:p>
    <w:p w14:paraId="1B14247A" w14:textId="77777777" w:rsidR="00016A6E" w:rsidRPr="006868B4" w:rsidRDefault="00016A6E" w:rsidP="00016A6E">
      <w:pPr>
        <w:rPr>
          <w:rFonts w:asciiTheme="minorHAnsi" w:hAnsiTheme="minorHAnsi" w:cstheme="minorHAnsi"/>
          <w:color w:val="000000" w:themeColor="text1"/>
        </w:rPr>
        <w:sectPr w:rsidR="00016A6E" w:rsidRPr="006868B4" w:rsidSect="005629D5">
          <w:pgSz w:w="16838" w:h="11906" w:orient="landscape"/>
          <w:pgMar w:top="1440" w:right="1440" w:bottom="1440" w:left="1440" w:header="708" w:footer="708" w:gutter="0"/>
          <w:cols w:space="708"/>
          <w:docGrid w:linePitch="360"/>
        </w:sectPr>
      </w:pPr>
    </w:p>
    <w:p w14:paraId="6EC80F58" w14:textId="77777777" w:rsidR="00016A6E" w:rsidRPr="00E612B1" w:rsidRDefault="00016A6E" w:rsidP="00016A6E">
      <w:pPr>
        <w:spacing w:line="276" w:lineRule="auto"/>
        <w:rPr>
          <w:rFonts w:asciiTheme="minorHAnsi" w:hAnsiTheme="minorHAnsi" w:cstheme="minorHAnsi"/>
          <w:i/>
          <w:iCs/>
          <w:color w:val="000000" w:themeColor="text1"/>
        </w:rPr>
      </w:pPr>
      <w:r w:rsidRPr="00E612B1">
        <w:rPr>
          <w:rFonts w:asciiTheme="minorHAnsi" w:hAnsiTheme="minorHAnsi" w:cstheme="minorHAnsi"/>
          <w:i/>
          <w:iCs/>
          <w:color w:val="000000" w:themeColor="text1"/>
        </w:rPr>
        <w:lastRenderedPageBreak/>
        <w:t>Initial critical analysis of selected articles</w:t>
      </w:r>
    </w:p>
    <w:p w14:paraId="342014B4" w14:textId="5E5A6AAB" w:rsidR="00016A6E" w:rsidRPr="00043D86" w:rsidRDefault="00016A6E" w:rsidP="00016A6E">
      <w:pPr>
        <w:spacing w:line="276" w:lineRule="auto"/>
        <w:rPr>
          <w:rFonts w:asciiTheme="minorHAnsi" w:hAnsiTheme="minorHAnsi" w:cstheme="minorHAnsi"/>
          <w:color w:val="000000" w:themeColor="text1"/>
        </w:rPr>
      </w:pPr>
      <w:r w:rsidRPr="00043D86">
        <w:rPr>
          <w:rFonts w:asciiTheme="minorHAnsi" w:hAnsiTheme="minorHAnsi" w:cstheme="minorHAnsi"/>
          <w:color w:val="000000" w:themeColor="text1"/>
        </w:rPr>
        <w:t>Table 5 outlines key results, strengths and limitations of selected articles. All studies were published in reputable peer-reviewed international journals and followed a clear methodological approach. Six of the eight selected studies used a retrospective observational design</w:t>
      </w:r>
      <w:r w:rsidR="00E422E6">
        <w:rPr>
          <w:rFonts w:asciiTheme="minorHAnsi" w:hAnsiTheme="minorHAnsi" w:cstheme="minorHAnsi"/>
          <w:color w:val="000000" w:themeColor="text1"/>
        </w:rPr>
        <w:t>.</w:t>
      </w:r>
      <w:r w:rsidR="00E612B1" w:rsidRPr="00E422E6">
        <w:rPr>
          <w:rFonts w:asciiTheme="minorHAnsi" w:hAnsiTheme="minorHAnsi" w:cstheme="minorHAnsi"/>
          <w:color w:val="000000" w:themeColor="text1"/>
          <w:vertAlign w:val="superscript"/>
        </w:rPr>
        <w:t>24-29</w:t>
      </w:r>
      <w:r w:rsidRPr="00043D86">
        <w:rPr>
          <w:rFonts w:asciiTheme="minorHAnsi" w:hAnsiTheme="minorHAnsi" w:cstheme="minorHAnsi"/>
          <w:color w:val="000000" w:themeColor="text1"/>
        </w:rPr>
        <w:t xml:space="preserve"> No eligible prospective observational designs were found. Prospective cohort studies are planned in advance, with participants defined before the intervention of interest occurs. In contrast, retrospective cohort studies identify participants from existing records and follow their outcomes from the time of those records. Consequently, retrospective studies are generally more susceptible to bias</w:t>
      </w:r>
      <w:r w:rsidR="00C71076">
        <w:rPr>
          <w:rFonts w:asciiTheme="minorHAnsi" w:hAnsiTheme="minorHAnsi" w:cstheme="minorHAnsi"/>
          <w:color w:val="000000" w:themeColor="text1"/>
        </w:rPr>
        <w:t>.</w:t>
      </w:r>
      <w:r w:rsidR="00C71076" w:rsidRPr="00C71076">
        <w:rPr>
          <w:rFonts w:asciiTheme="minorHAnsi" w:hAnsiTheme="minorHAnsi" w:cstheme="minorHAnsi"/>
          <w:color w:val="000000" w:themeColor="text1"/>
          <w:vertAlign w:val="superscript"/>
        </w:rPr>
        <w:t>13</w:t>
      </w:r>
      <w:r w:rsidRPr="00043D86">
        <w:rPr>
          <w:rFonts w:asciiTheme="minorHAnsi" w:hAnsiTheme="minorHAnsi" w:cstheme="minorHAnsi"/>
          <w:color w:val="000000" w:themeColor="text1"/>
        </w:rPr>
        <w:t xml:space="preserve"> The other two selected studies were both double-blinded randomised controlled trials: NETTER- 1</w:t>
      </w:r>
      <w:r w:rsidR="00043E4F" w:rsidRPr="00043E4F">
        <w:rPr>
          <w:rFonts w:asciiTheme="minorHAnsi" w:hAnsiTheme="minorHAnsi" w:cstheme="minorHAnsi"/>
          <w:color w:val="000000" w:themeColor="text1"/>
          <w:vertAlign w:val="superscript"/>
        </w:rPr>
        <w:t>8</w:t>
      </w:r>
      <w:r w:rsidRPr="00043D86">
        <w:rPr>
          <w:rFonts w:asciiTheme="minorHAnsi" w:hAnsiTheme="minorHAnsi" w:cstheme="minorHAnsi"/>
          <w:color w:val="000000" w:themeColor="text1"/>
        </w:rPr>
        <w:t xml:space="preserve"> and NETTER-2.</w:t>
      </w:r>
      <w:r w:rsidR="00043E4F" w:rsidRPr="00043E4F">
        <w:rPr>
          <w:rFonts w:asciiTheme="minorHAnsi" w:hAnsiTheme="minorHAnsi" w:cstheme="minorHAnsi"/>
          <w:color w:val="000000" w:themeColor="text1"/>
          <w:vertAlign w:val="superscript"/>
        </w:rPr>
        <w:t>30</w:t>
      </w:r>
      <w:r w:rsidRPr="00043D86">
        <w:rPr>
          <w:rFonts w:asciiTheme="minorHAnsi" w:hAnsiTheme="minorHAnsi" w:cstheme="minorHAnsi"/>
          <w:color w:val="000000" w:themeColor="text1"/>
        </w:rPr>
        <w:t xml:space="preserve"> NETTER-2 remains ongoing, limiting long-term outcomes analysis, but is included as the PFS time frame is approximately 42 months which surpasses the date of randomisation. RCT’s are the definitive guide to efficacy as they, compared to observational studies reduce the risk of bias due to random allocation and concealment of treatment arms </w:t>
      </w:r>
      <w:r w:rsidRPr="00966DFF">
        <w:rPr>
          <w:rFonts w:asciiTheme="minorHAnsi" w:hAnsiTheme="minorHAnsi" w:cstheme="minorHAnsi"/>
          <w:color w:val="000000" w:themeColor="text1"/>
          <w:vertAlign w:val="superscript"/>
        </w:rPr>
        <w:t>(6)</w:t>
      </w:r>
      <w:r w:rsidRPr="00043D86">
        <w:rPr>
          <w:rFonts w:asciiTheme="minorHAnsi" w:hAnsiTheme="minorHAnsi" w:cstheme="minorHAnsi"/>
          <w:color w:val="000000" w:themeColor="text1"/>
        </w:rPr>
        <w:t>. Therefore these findings have been given due weight in this narrative synthesis.</w:t>
      </w:r>
    </w:p>
    <w:p w14:paraId="67BF3C07" w14:textId="30030DC5" w:rsidR="00016A6E" w:rsidRPr="00043D86" w:rsidRDefault="00016A6E" w:rsidP="00F62B2B">
      <w:pPr>
        <w:spacing w:before="240" w:line="276" w:lineRule="auto"/>
        <w:rPr>
          <w:rFonts w:asciiTheme="minorHAnsi" w:hAnsiTheme="minorHAnsi" w:cstheme="minorHAnsi"/>
          <w:color w:val="000000" w:themeColor="text1"/>
        </w:rPr>
      </w:pPr>
      <w:r w:rsidRPr="00043D86">
        <w:rPr>
          <w:rFonts w:asciiTheme="minorHAnsi" w:hAnsiTheme="minorHAnsi" w:cstheme="minorHAnsi"/>
          <w:color w:val="000000" w:themeColor="text1"/>
        </w:rPr>
        <w:t xml:space="preserve">In accordance with the inclusion criteria, all studies enrolled more than 100 participants, with sample sizes ranging from 114 to 1,214 patients. However, only one subgroup within this population reported the key outcomes of PFS and OS. Notably, this subgroup </w:t>
      </w:r>
      <w:r w:rsidR="00F62B2B">
        <w:rPr>
          <w:rFonts w:asciiTheme="minorHAnsi" w:hAnsiTheme="minorHAnsi" w:cstheme="minorHAnsi"/>
          <w:color w:val="000000" w:themeColor="text1"/>
        </w:rPr>
        <w:t>(</w:t>
      </w:r>
      <w:r w:rsidRPr="00043D86">
        <w:rPr>
          <w:rFonts w:asciiTheme="minorHAnsi" w:hAnsiTheme="minorHAnsi" w:cstheme="minorHAnsi"/>
          <w:color w:val="000000" w:themeColor="text1"/>
        </w:rPr>
        <w:t>n= 433</w:t>
      </w:r>
      <w:r w:rsidR="00F62B2B">
        <w:rPr>
          <w:rFonts w:asciiTheme="minorHAnsi" w:hAnsiTheme="minorHAnsi" w:cstheme="minorHAnsi"/>
          <w:color w:val="000000" w:themeColor="text1"/>
        </w:rPr>
        <w:t>)</w:t>
      </w:r>
      <w:r w:rsidRPr="00043D86">
        <w:rPr>
          <w:rFonts w:asciiTheme="minorHAnsi" w:hAnsiTheme="minorHAnsi" w:cstheme="minorHAnsi"/>
          <w:color w:val="000000" w:themeColor="text1"/>
        </w:rPr>
        <w:t xml:space="preserve"> still represented the largest cohort evaluated in the review. </w:t>
      </w:r>
    </w:p>
    <w:p w14:paraId="6CB1D23D" w14:textId="1C92AD6B" w:rsidR="00016A6E" w:rsidRPr="00043D86" w:rsidRDefault="00016A6E" w:rsidP="003E758C">
      <w:pPr>
        <w:spacing w:before="240" w:line="276" w:lineRule="auto"/>
        <w:rPr>
          <w:rFonts w:asciiTheme="minorHAnsi" w:hAnsiTheme="minorHAnsi" w:cstheme="minorHAnsi"/>
          <w:color w:val="000000" w:themeColor="text1"/>
          <w:shd w:val="clear" w:color="auto" w:fill="FFFFFF"/>
        </w:rPr>
      </w:pPr>
      <w:r w:rsidRPr="00043D86">
        <w:rPr>
          <w:rFonts w:asciiTheme="minorHAnsi" w:hAnsiTheme="minorHAnsi" w:cstheme="minorHAnsi"/>
          <w:color w:val="000000" w:themeColor="text1"/>
        </w:rPr>
        <w:t xml:space="preserve">GEP, pancreatic and midgut NETs were the most prevalent sites included in the studies </w:t>
      </w:r>
      <w:r>
        <w:rPr>
          <w:rFonts w:asciiTheme="minorHAnsi" w:hAnsiTheme="minorHAnsi" w:cstheme="minorHAnsi"/>
          <w:color w:val="000000" w:themeColor="text1"/>
        </w:rPr>
        <w:t>[</w:t>
      </w:r>
      <w:r w:rsidRPr="00043D86">
        <w:rPr>
          <w:rFonts w:asciiTheme="minorHAnsi" w:hAnsiTheme="minorHAnsi" w:cstheme="minorHAnsi"/>
          <w:color w:val="000000" w:themeColor="text1"/>
        </w:rPr>
        <w:t>Figure 3</w:t>
      </w:r>
      <w:r>
        <w:rPr>
          <w:rFonts w:asciiTheme="minorHAnsi" w:hAnsiTheme="minorHAnsi" w:cstheme="minorHAnsi"/>
          <w:color w:val="000000" w:themeColor="text1"/>
        </w:rPr>
        <w:t>]</w:t>
      </w:r>
      <w:r w:rsidR="003E758C">
        <w:rPr>
          <w:rFonts w:asciiTheme="minorHAnsi" w:hAnsiTheme="minorHAnsi" w:cstheme="minorHAnsi"/>
          <w:color w:val="000000" w:themeColor="text1"/>
        </w:rPr>
        <w:t>. H</w:t>
      </w:r>
      <w:r w:rsidRPr="00043D86">
        <w:rPr>
          <w:rFonts w:asciiTheme="minorHAnsi" w:hAnsiTheme="minorHAnsi" w:cstheme="minorHAnsi"/>
          <w:color w:val="000000" w:themeColor="text1"/>
        </w:rPr>
        <w:t>owever</w:t>
      </w:r>
      <w:r w:rsidR="003E758C">
        <w:rPr>
          <w:rFonts w:asciiTheme="minorHAnsi" w:hAnsiTheme="minorHAnsi" w:cstheme="minorHAnsi"/>
          <w:color w:val="000000" w:themeColor="text1"/>
        </w:rPr>
        <w:t>,</w:t>
      </w:r>
      <w:r w:rsidRPr="00043D86">
        <w:rPr>
          <w:rFonts w:asciiTheme="minorHAnsi" w:hAnsiTheme="minorHAnsi" w:cstheme="minorHAnsi"/>
          <w:color w:val="000000" w:themeColor="text1"/>
        </w:rPr>
        <w:t xml:space="preserve"> on average the retrospective studies included eight, varied NET subtypes. The RCTs</w:t>
      </w:r>
      <w:r w:rsidR="003E758C" w:rsidRPr="003E758C">
        <w:rPr>
          <w:rFonts w:asciiTheme="minorHAnsi" w:hAnsiTheme="minorHAnsi" w:cstheme="minorHAnsi"/>
          <w:color w:val="000000" w:themeColor="text1"/>
          <w:vertAlign w:val="superscript"/>
        </w:rPr>
        <w:t>8,30</w:t>
      </w:r>
      <w:r w:rsidRPr="003E758C">
        <w:rPr>
          <w:rFonts w:asciiTheme="minorHAnsi" w:hAnsiTheme="minorHAnsi" w:cstheme="minorHAnsi"/>
          <w:color w:val="000000" w:themeColor="text1"/>
        </w:rPr>
        <w:t xml:space="preserve"> </w:t>
      </w:r>
      <w:r w:rsidRPr="00043D86">
        <w:rPr>
          <w:rFonts w:asciiTheme="minorHAnsi" w:hAnsiTheme="minorHAnsi" w:cstheme="minorHAnsi"/>
          <w:color w:val="000000" w:themeColor="text1"/>
        </w:rPr>
        <w:t xml:space="preserve">focused on single NET types </w:t>
      </w:r>
      <w:r w:rsidR="003E758C">
        <w:rPr>
          <w:rFonts w:asciiTheme="minorHAnsi" w:hAnsiTheme="minorHAnsi" w:cstheme="minorHAnsi"/>
          <w:color w:val="000000" w:themeColor="text1"/>
        </w:rPr>
        <w:t>(</w:t>
      </w:r>
      <w:r w:rsidRPr="00043D86">
        <w:rPr>
          <w:rFonts w:asciiTheme="minorHAnsi" w:hAnsiTheme="minorHAnsi" w:cstheme="minorHAnsi"/>
          <w:color w:val="000000" w:themeColor="text1"/>
        </w:rPr>
        <w:t xml:space="preserve">advanced, inoperable, well differentiated midgut NETs and </w:t>
      </w:r>
      <w:r>
        <w:rPr>
          <w:rFonts w:asciiTheme="minorHAnsi" w:hAnsiTheme="minorHAnsi" w:cstheme="minorHAnsi"/>
          <w:color w:val="000000" w:themeColor="text1"/>
        </w:rPr>
        <w:t>m</w:t>
      </w:r>
      <w:r w:rsidRPr="00043D86">
        <w:rPr>
          <w:rFonts w:asciiTheme="minorHAnsi" w:hAnsiTheme="minorHAnsi" w:cstheme="minorHAnsi"/>
          <w:color w:val="000000" w:themeColor="text1"/>
        </w:rPr>
        <w:t>etastatic or locally advanced, grade 2/3 well differentiated GEP NETs</w:t>
      </w:r>
      <w:r w:rsidR="003E758C">
        <w:rPr>
          <w:rFonts w:asciiTheme="minorHAnsi" w:hAnsiTheme="minorHAnsi" w:cstheme="minorHAnsi"/>
          <w:color w:val="000000" w:themeColor="text1"/>
        </w:rPr>
        <w:t>)</w:t>
      </w:r>
      <w:r w:rsidRPr="00043D86">
        <w:rPr>
          <w:rFonts w:asciiTheme="minorHAnsi" w:hAnsiTheme="minorHAnsi" w:cstheme="minorHAnsi"/>
          <w:color w:val="000000" w:themeColor="text1"/>
        </w:rPr>
        <w:t xml:space="preserve">. Adverse effects and tumour progression were noted due to drug toxicity and disease progression where relevant to the modulation of OS. </w:t>
      </w:r>
      <w:r w:rsidRPr="00043D86">
        <w:rPr>
          <w:rFonts w:asciiTheme="minorHAnsi" w:hAnsiTheme="minorHAnsi" w:cstheme="minorHAnsi"/>
          <w:color w:val="000000" w:themeColor="text1"/>
          <w:shd w:val="clear" w:color="auto" w:fill="FFFFFF"/>
        </w:rPr>
        <w:t xml:space="preserve">Cumulative </w:t>
      </w:r>
      <w:r w:rsidRPr="00043D86">
        <w:rPr>
          <w:rFonts w:asciiTheme="minorHAnsi" w:hAnsiTheme="minorHAnsi" w:cstheme="minorHAnsi"/>
          <w:color w:val="000000" w:themeColor="text1"/>
          <w:vertAlign w:val="superscript"/>
        </w:rPr>
        <w:t>177</w:t>
      </w:r>
      <w:r w:rsidRPr="00043D86">
        <w:rPr>
          <w:rFonts w:asciiTheme="minorHAnsi" w:hAnsiTheme="minorHAnsi" w:cstheme="minorHAnsi"/>
          <w:color w:val="000000" w:themeColor="text1"/>
        </w:rPr>
        <w:t xml:space="preserve">Lu-DOTATATE </w:t>
      </w:r>
      <w:r w:rsidRPr="00043D86">
        <w:rPr>
          <w:rFonts w:asciiTheme="minorHAnsi" w:hAnsiTheme="minorHAnsi" w:cstheme="minorHAnsi"/>
          <w:color w:val="000000" w:themeColor="text1"/>
          <w:shd w:val="clear" w:color="auto" w:fill="FFFFFF"/>
        </w:rPr>
        <w:t>doses ranged from 27.75</w:t>
      </w:r>
      <w:r w:rsidR="003E758C">
        <w:rPr>
          <w:rFonts w:asciiTheme="minorHAnsi" w:hAnsiTheme="minorHAnsi" w:cstheme="minorHAnsi"/>
          <w:color w:val="000000" w:themeColor="text1"/>
          <w:shd w:val="clear" w:color="auto" w:fill="FFFFFF"/>
        </w:rPr>
        <w:t>—</w:t>
      </w:r>
      <w:r w:rsidRPr="00043D86">
        <w:rPr>
          <w:rFonts w:asciiTheme="minorHAnsi" w:hAnsiTheme="minorHAnsi" w:cstheme="minorHAnsi"/>
          <w:color w:val="000000" w:themeColor="text1"/>
          <w:shd w:val="clear" w:color="auto" w:fill="FFFFFF"/>
        </w:rPr>
        <w:t xml:space="preserve">30.24 </w:t>
      </w:r>
      <w:proofErr w:type="spellStart"/>
      <w:r w:rsidRPr="00043D86">
        <w:rPr>
          <w:rFonts w:asciiTheme="minorHAnsi" w:hAnsiTheme="minorHAnsi" w:cstheme="minorHAnsi"/>
          <w:color w:val="000000" w:themeColor="text1"/>
          <w:shd w:val="clear" w:color="auto" w:fill="FFFFFF"/>
        </w:rPr>
        <w:t>GBq</w:t>
      </w:r>
      <w:proofErr w:type="spellEnd"/>
      <w:r w:rsidRPr="00043D86">
        <w:rPr>
          <w:rFonts w:asciiTheme="minorHAnsi" w:hAnsiTheme="minorHAnsi" w:cstheme="minorHAnsi"/>
          <w:color w:val="000000" w:themeColor="text1"/>
          <w:shd w:val="clear" w:color="auto" w:fill="FFFFFF"/>
        </w:rPr>
        <w:t xml:space="preserve"> across 3</w:t>
      </w:r>
      <w:r w:rsidR="003E758C">
        <w:rPr>
          <w:rFonts w:asciiTheme="minorHAnsi" w:hAnsiTheme="minorHAnsi" w:cstheme="minorHAnsi"/>
          <w:color w:val="000000" w:themeColor="text1"/>
          <w:shd w:val="clear" w:color="auto" w:fill="FFFFFF"/>
        </w:rPr>
        <w:t>—</w:t>
      </w:r>
      <w:r w:rsidRPr="00043D86">
        <w:rPr>
          <w:rFonts w:asciiTheme="minorHAnsi" w:hAnsiTheme="minorHAnsi" w:cstheme="minorHAnsi"/>
          <w:color w:val="000000" w:themeColor="text1"/>
          <w:shd w:val="clear" w:color="auto" w:fill="FFFFFF"/>
        </w:rPr>
        <w:t xml:space="preserve">12 cycles with a median of six cycles. </w:t>
      </w:r>
      <w:r w:rsidRPr="00043D86">
        <w:rPr>
          <w:rFonts w:asciiTheme="minorHAnsi" w:hAnsiTheme="minorHAnsi" w:cstheme="minorHAnsi"/>
          <w:color w:val="000000" w:themeColor="text1"/>
        </w:rPr>
        <w:t xml:space="preserve">Studies used at least one somatostatin receptor imaging modality </w:t>
      </w:r>
      <w:r w:rsidRPr="00043D86">
        <w:rPr>
          <w:rFonts w:asciiTheme="minorHAnsi" w:hAnsiTheme="minorHAnsi" w:cstheme="minorHAnsi"/>
          <w:color w:val="000000" w:themeColor="text1"/>
          <w:shd w:val="clear" w:color="auto" w:fill="FFFFFF"/>
        </w:rPr>
        <w:t xml:space="preserve">to assess tumour progression: </w:t>
      </w:r>
      <w:r w:rsidRPr="00043D86">
        <w:rPr>
          <w:rFonts w:asciiTheme="minorHAnsi" w:hAnsiTheme="minorHAnsi" w:cstheme="minorHAnsi"/>
          <w:color w:val="000000" w:themeColor="text1"/>
        </w:rPr>
        <w:t xml:space="preserve">Octreoscan, PET/CT with </w:t>
      </w:r>
      <w:r w:rsidRPr="00043D86">
        <w:rPr>
          <w:rFonts w:asciiTheme="minorHAnsi" w:hAnsiTheme="minorHAnsi" w:cstheme="minorHAnsi"/>
          <w:color w:val="000000" w:themeColor="text1"/>
          <w:shd w:val="clear" w:color="auto" w:fill="FFFFFF"/>
          <w:vertAlign w:val="superscript"/>
        </w:rPr>
        <w:t>68</w:t>
      </w:r>
      <w:r w:rsidRPr="00043D86">
        <w:rPr>
          <w:rFonts w:asciiTheme="minorHAnsi" w:hAnsiTheme="minorHAnsi" w:cstheme="minorHAnsi"/>
          <w:color w:val="000000" w:themeColor="text1"/>
          <w:shd w:val="clear" w:color="auto" w:fill="FFFFFF"/>
        </w:rPr>
        <w:t xml:space="preserve">Ga-SSA or CT/MRI. </w:t>
      </w:r>
    </w:p>
    <w:p w14:paraId="7CDB5F99" w14:textId="77777777" w:rsidR="00016A6E" w:rsidRDefault="00016A6E" w:rsidP="00016A6E">
      <w:pPr>
        <w:spacing w:line="276" w:lineRule="auto"/>
        <w:rPr>
          <w:rFonts w:asciiTheme="minorHAnsi" w:hAnsiTheme="minorHAnsi" w:cstheme="minorHAnsi"/>
          <w:i/>
          <w:iCs/>
          <w:color w:val="000000" w:themeColor="text1"/>
          <w:sz w:val="20"/>
          <w:szCs w:val="20"/>
        </w:rPr>
      </w:pPr>
    </w:p>
    <w:p w14:paraId="06EF7116" w14:textId="77777777" w:rsidR="00016A6E" w:rsidRDefault="00016A6E" w:rsidP="00016A6E">
      <w:pPr>
        <w:spacing w:line="276" w:lineRule="auto"/>
        <w:rPr>
          <w:rFonts w:asciiTheme="minorHAnsi" w:hAnsiTheme="minorHAnsi" w:cstheme="minorHAnsi"/>
          <w:i/>
          <w:iCs/>
          <w:color w:val="000000" w:themeColor="text1"/>
          <w:sz w:val="20"/>
          <w:szCs w:val="20"/>
        </w:rPr>
      </w:pPr>
    </w:p>
    <w:p w14:paraId="2AD22040" w14:textId="77777777" w:rsidR="00016A6E" w:rsidRDefault="00016A6E" w:rsidP="00016A6E">
      <w:pPr>
        <w:spacing w:line="276" w:lineRule="auto"/>
        <w:rPr>
          <w:rFonts w:asciiTheme="minorHAnsi" w:hAnsiTheme="minorHAnsi" w:cstheme="minorHAnsi"/>
          <w:i/>
          <w:iCs/>
          <w:color w:val="000000" w:themeColor="text1"/>
          <w:sz w:val="20"/>
          <w:szCs w:val="20"/>
        </w:rPr>
      </w:pPr>
    </w:p>
    <w:p w14:paraId="5A2C071F" w14:textId="77777777" w:rsidR="00016A6E" w:rsidRDefault="00016A6E" w:rsidP="00016A6E">
      <w:pPr>
        <w:spacing w:line="276" w:lineRule="auto"/>
        <w:rPr>
          <w:rFonts w:asciiTheme="minorHAnsi" w:hAnsiTheme="minorHAnsi" w:cstheme="minorHAnsi"/>
          <w:i/>
          <w:iCs/>
          <w:color w:val="000000" w:themeColor="text1"/>
          <w:sz w:val="20"/>
          <w:szCs w:val="20"/>
        </w:rPr>
      </w:pPr>
    </w:p>
    <w:p w14:paraId="661A223A" w14:textId="77777777" w:rsidR="00016A6E" w:rsidRDefault="00016A6E" w:rsidP="00016A6E">
      <w:pPr>
        <w:spacing w:line="276" w:lineRule="auto"/>
        <w:rPr>
          <w:rFonts w:asciiTheme="minorHAnsi" w:hAnsiTheme="minorHAnsi" w:cstheme="minorHAnsi"/>
          <w:i/>
          <w:iCs/>
          <w:color w:val="000000" w:themeColor="text1"/>
          <w:sz w:val="20"/>
          <w:szCs w:val="20"/>
        </w:rPr>
      </w:pPr>
    </w:p>
    <w:p w14:paraId="139FEF7A" w14:textId="77777777" w:rsidR="00016A6E" w:rsidRDefault="00016A6E" w:rsidP="00016A6E">
      <w:pPr>
        <w:spacing w:line="276" w:lineRule="auto"/>
        <w:rPr>
          <w:rFonts w:asciiTheme="minorHAnsi" w:hAnsiTheme="minorHAnsi" w:cstheme="minorHAnsi"/>
          <w:i/>
          <w:iCs/>
          <w:color w:val="000000" w:themeColor="text1"/>
          <w:sz w:val="20"/>
          <w:szCs w:val="20"/>
        </w:rPr>
      </w:pPr>
    </w:p>
    <w:p w14:paraId="79B2DE14" w14:textId="77777777" w:rsidR="00016A6E" w:rsidRDefault="00016A6E" w:rsidP="00016A6E">
      <w:pPr>
        <w:spacing w:line="276" w:lineRule="auto"/>
        <w:rPr>
          <w:rFonts w:asciiTheme="minorHAnsi" w:hAnsiTheme="minorHAnsi" w:cstheme="minorHAnsi"/>
          <w:i/>
          <w:iCs/>
          <w:color w:val="000000" w:themeColor="text1"/>
          <w:sz w:val="20"/>
          <w:szCs w:val="20"/>
        </w:rPr>
      </w:pPr>
    </w:p>
    <w:p w14:paraId="068B8F88" w14:textId="77777777" w:rsidR="003E758C" w:rsidRDefault="003E758C" w:rsidP="00016A6E">
      <w:pPr>
        <w:spacing w:line="276" w:lineRule="auto"/>
        <w:rPr>
          <w:rFonts w:asciiTheme="minorHAnsi" w:hAnsiTheme="minorHAnsi" w:cstheme="minorHAnsi"/>
          <w:i/>
          <w:iCs/>
          <w:color w:val="000000" w:themeColor="text1"/>
          <w:sz w:val="20"/>
          <w:szCs w:val="20"/>
        </w:rPr>
      </w:pPr>
    </w:p>
    <w:p w14:paraId="5DFE9F66" w14:textId="77777777" w:rsidR="00016A6E" w:rsidRDefault="00016A6E" w:rsidP="00016A6E">
      <w:pPr>
        <w:spacing w:line="276" w:lineRule="auto"/>
        <w:rPr>
          <w:rFonts w:asciiTheme="minorHAnsi" w:hAnsiTheme="minorHAnsi" w:cstheme="minorHAnsi"/>
          <w:i/>
          <w:iCs/>
          <w:color w:val="000000" w:themeColor="text1"/>
          <w:sz w:val="20"/>
          <w:szCs w:val="20"/>
        </w:rPr>
      </w:pPr>
    </w:p>
    <w:p w14:paraId="0C35E8E5" w14:textId="77777777" w:rsidR="00016A6E" w:rsidRDefault="00016A6E" w:rsidP="00016A6E">
      <w:pPr>
        <w:spacing w:line="276" w:lineRule="auto"/>
        <w:rPr>
          <w:rFonts w:asciiTheme="minorHAnsi" w:hAnsiTheme="minorHAnsi" w:cstheme="minorHAnsi"/>
          <w:i/>
          <w:iCs/>
          <w:color w:val="000000" w:themeColor="text1"/>
          <w:sz w:val="20"/>
          <w:szCs w:val="20"/>
        </w:rPr>
      </w:pPr>
    </w:p>
    <w:p w14:paraId="0B344EB2" w14:textId="77777777" w:rsidR="00016A6E" w:rsidRDefault="00016A6E" w:rsidP="00016A6E">
      <w:pPr>
        <w:spacing w:line="276" w:lineRule="auto"/>
        <w:rPr>
          <w:rFonts w:asciiTheme="minorHAnsi" w:hAnsiTheme="minorHAnsi" w:cstheme="minorHAnsi"/>
          <w:i/>
          <w:iCs/>
          <w:color w:val="000000" w:themeColor="text1"/>
          <w:sz w:val="20"/>
          <w:szCs w:val="20"/>
        </w:rPr>
      </w:pPr>
    </w:p>
    <w:p w14:paraId="70BBAA4C" w14:textId="77777777" w:rsidR="00016A6E" w:rsidRDefault="00016A6E" w:rsidP="00016A6E">
      <w:pPr>
        <w:spacing w:line="276" w:lineRule="auto"/>
        <w:rPr>
          <w:rFonts w:asciiTheme="minorHAnsi" w:hAnsiTheme="minorHAnsi" w:cstheme="minorHAnsi"/>
          <w:i/>
          <w:iCs/>
          <w:color w:val="000000" w:themeColor="text1"/>
          <w:sz w:val="20"/>
          <w:szCs w:val="20"/>
        </w:rPr>
      </w:pPr>
    </w:p>
    <w:p w14:paraId="6A81292E" w14:textId="77777777" w:rsidR="00016A6E" w:rsidRDefault="00016A6E" w:rsidP="00016A6E">
      <w:pPr>
        <w:spacing w:line="276" w:lineRule="auto"/>
        <w:rPr>
          <w:rFonts w:asciiTheme="minorHAnsi" w:hAnsiTheme="minorHAnsi" w:cstheme="minorHAnsi"/>
          <w:i/>
          <w:iCs/>
          <w:color w:val="000000" w:themeColor="text1"/>
          <w:sz w:val="20"/>
          <w:szCs w:val="20"/>
        </w:rPr>
      </w:pPr>
    </w:p>
    <w:p w14:paraId="7815C869" w14:textId="77777777" w:rsidR="00016A6E" w:rsidRDefault="00016A6E" w:rsidP="00016A6E">
      <w:pPr>
        <w:spacing w:line="276" w:lineRule="auto"/>
        <w:rPr>
          <w:rFonts w:asciiTheme="minorHAnsi" w:hAnsiTheme="minorHAnsi" w:cstheme="minorHAnsi"/>
          <w:i/>
          <w:iCs/>
          <w:color w:val="000000" w:themeColor="text1"/>
          <w:sz w:val="20"/>
          <w:szCs w:val="20"/>
        </w:rPr>
      </w:pPr>
    </w:p>
    <w:p w14:paraId="76B66A43" w14:textId="77777777" w:rsidR="00016A6E" w:rsidRPr="00527E4E" w:rsidRDefault="00016A6E" w:rsidP="00016A6E">
      <w:pPr>
        <w:spacing w:line="276" w:lineRule="auto"/>
        <w:rPr>
          <w:rFonts w:asciiTheme="minorHAnsi" w:hAnsiTheme="minorHAnsi" w:cstheme="minorHAnsi"/>
          <w:i/>
          <w:iCs/>
          <w:color w:val="000000" w:themeColor="text1"/>
          <w:sz w:val="20"/>
          <w:szCs w:val="20"/>
        </w:rPr>
      </w:pPr>
      <w:r w:rsidRPr="00527E4E">
        <w:rPr>
          <w:rFonts w:asciiTheme="minorHAnsi" w:hAnsiTheme="minorHAnsi" w:cstheme="minorHAnsi"/>
          <w:i/>
          <w:iCs/>
          <w:color w:val="000000" w:themeColor="text1"/>
          <w:sz w:val="20"/>
          <w:szCs w:val="20"/>
        </w:rPr>
        <w:lastRenderedPageBreak/>
        <w:t>Figure 3</w:t>
      </w:r>
      <w:r>
        <w:rPr>
          <w:rFonts w:asciiTheme="minorHAnsi" w:hAnsiTheme="minorHAnsi" w:cstheme="minorHAnsi"/>
          <w:i/>
          <w:iCs/>
          <w:color w:val="000000" w:themeColor="text1"/>
          <w:sz w:val="20"/>
          <w:szCs w:val="20"/>
        </w:rPr>
        <w:t>: T</w:t>
      </w:r>
      <w:r w:rsidRPr="00527E4E">
        <w:rPr>
          <w:rFonts w:asciiTheme="minorHAnsi" w:hAnsiTheme="minorHAnsi" w:cstheme="minorHAnsi"/>
          <w:i/>
          <w:iCs/>
          <w:color w:val="000000" w:themeColor="text1"/>
          <w:sz w:val="20"/>
          <w:szCs w:val="20"/>
        </w:rPr>
        <w:t xml:space="preserve">he distribution of NET subtypes across all </w:t>
      </w:r>
      <w:r>
        <w:rPr>
          <w:rFonts w:asciiTheme="minorHAnsi" w:hAnsiTheme="minorHAnsi" w:cstheme="minorHAnsi"/>
          <w:i/>
          <w:iCs/>
          <w:color w:val="000000" w:themeColor="text1"/>
          <w:sz w:val="20"/>
          <w:szCs w:val="20"/>
        </w:rPr>
        <w:t xml:space="preserve">eight </w:t>
      </w:r>
      <w:r w:rsidRPr="00527E4E">
        <w:rPr>
          <w:rFonts w:asciiTheme="minorHAnsi" w:hAnsiTheme="minorHAnsi" w:cstheme="minorHAnsi"/>
          <w:i/>
          <w:iCs/>
          <w:color w:val="000000" w:themeColor="text1"/>
          <w:sz w:val="20"/>
          <w:szCs w:val="20"/>
        </w:rPr>
        <w:t>studies</w:t>
      </w:r>
      <w:r>
        <w:rPr>
          <w:rFonts w:asciiTheme="minorHAnsi" w:hAnsiTheme="minorHAnsi" w:cstheme="minorHAnsi"/>
          <w:i/>
          <w:iCs/>
          <w:color w:val="000000" w:themeColor="text1"/>
          <w:sz w:val="20"/>
          <w:szCs w:val="20"/>
        </w:rPr>
        <w:t xml:space="preserve"> included in the review</w:t>
      </w:r>
      <w:r w:rsidRPr="00527E4E">
        <w:rPr>
          <w:rFonts w:asciiTheme="minorHAnsi" w:hAnsiTheme="minorHAnsi" w:cstheme="minorHAnsi"/>
          <w:i/>
          <w:iCs/>
          <w:color w:val="000000" w:themeColor="text1"/>
          <w:sz w:val="20"/>
          <w:szCs w:val="20"/>
        </w:rPr>
        <w:t xml:space="preserve"> </w:t>
      </w:r>
    </w:p>
    <w:p w14:paraId="4F1791F0" w14:textId="77777777" w:rsidR="00016A6E" w:rsidRPr="006868B4" w:rsidRDefault="00016A6E" w:rsidP="00016A6E">
      <w:pPr>
        <w:rPr>
          <w:rFonts w:asciiTheme="minorHAnsi" w:hAnsiTheme="minorHAnsi" w:cstheme="minorHAnsi"/>
          <w:b/>
          <w:bCs/>
          <w:color w:val="000000" w:themeColor="text1"/>
          <w:sz w:val="22"/>
          <w:szCs w:val="22"/>
        </w:rPr>
        <w:sectPr w:rsidR="00016A6E" w:rsidRPr="006868B4" w:rsidSect="00986D46">
          <w:footerReference w:type="even" r:id="rId11"/>
          <w:footerReference w:type="default" r:id="rId12"/>
          <w:pgSz w:w="11906" w:h="16838"/>
          <w:pgMar w:top="1440" w:right="1440" w:bottom="1440" w:left="1440" w:header="708" w:footer="708" w:gutter="0"/>
          <w:pgNumType w:start="15"/>
          <w:cols w:space="708"/>
          <w:docGrid w:linePitch="360"/>
        </w:sectPr>
      </w:pPr>
      <w:r w:rsidRPr="006868B4">
        <w:rPr>
          <w:rFonts w:asciiTheme="minorHAnsi" w:hAnsiTheme="minorHAnsi" w:cstheme="minorHAnsi"/>
          <w:b/>
          <w:bCs/>
          <w:noProof/>
          <w:color w:val="000000" w:themeColor="text1"/>
          <w:sz w:val="22"/>
          <w:szCs w:val="22"/>
          <w14:ligatures w14:val="standardContextual"/>
        </w:rPr>
        <w:drawing>
          <wp:inline distT="0" distB="0" distL="0" distR="0" wp14:anchorId="66E444B7" wp14:editId="4682AB87">
            <wp:extent cx="5486400" cy="3200400"/>
            <wp:effectExtent l="0" t="0" r="0" b="0"/>
            <wp:docPr id="211642857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4678EE" w14:textId="77777777" w:rsidR="00016A6E" w:rsidRPr="003E758C" w:rsidRDefault="00016A6E" w:rsidP="00016A6E">
      <w:pPr>
        <w:spacing w:line="276" w:lineRule="auto"/>
        <w:rPr>
          <w:rFonts w:asciiTheme="minorHAnsi" w:hAnsiTheme="minorHAnsi" w:cstheme="minorHAnsi"/>
          <w:b/>
          <w:bCs/>
          <w:color w:val="000000" w:themeColor="text1"/>
          <w:sz w:val="28"/>
          <w:szCs w:val="28"/>
        </w:rPr>
      </w:pPr>
      <w:r w:rsidRPr="003E758C">
        <w:rPr>
          <w:rFonts w:asciiTheme="minorHAnsi" w:hAnsiTheme="minorHAnsi" w:cstheme="minorHAnsi"/>
          <w:b/>
          <w:bCs/>
          <w:color w:val="000000" w:themeColor="text1"/>
          <w:sz w:val="28"/>
          <w:szCs w:val="28"/>
        </w:rPr>
        <w:lastRenderedPageBreak/>
        <w:t xml:space="preserve">Discussion  </w:t>
      </w:r>
    </w:p>
    <w:p w14:paraId="7DBD8ACD" w14:textId="77777777" w:rsidR="00016A6E" w:rsidRPr="003E758C" w:rsidRDefault="00016A6E" w:rsidP="003E758C">
      <w:pPr>
        <w:spacing w:before="240" w:line="276" w:lineRule="auto"/>
        <w:rPr>
          <w:rFonts w:asciiTheme="minorHAnsi" w:hAnsiTheme="minorHAnsi" w:cstheme="minorHAnsi"/>
          <w:i/>
          <w:iCs/>
          <w:color w:val="000000" w:themeColor="text1"/>
        </w:rPr>
      </w:pPr>
      <w:r w:rsidRPr="003E758C">
        <w:rPr>
          <w:rFonts w:asciiTheme="minorHAnsi" w:hAnsiTheme="minorHAnsi" w:cstheme="minorHAnsi"/>
          <w:i/>
          <w:iCs/>
          <w:color w:val="000000" w:themeColor="text1"/>
        </w:rPr>
        <w:t>Overall Survival [OS]</w:t>
      </w:r>
    </w:p>
    <w:p w14:paraId="163CCE53" w14:textId="58A2DE6E" w:rsidR="00016A6E" w:rsidRPr="006868B4" w:rsidRDefault="00016A6E" w:rsidP="00016A6E">
      <w:pPr>
        <w:spacing w:line="276" w:lineRule="auto"/>
        <w:rPr>
          <w:rFonts w:asciiTheme="minorHAnsi" w:hAnsiTheme="minorHAnsi" w:cstheme="minorHAnsi"/>
          <w:color w:val="000000" w:themeColor="text1"/>
          <w:sz w:val="20"/>
          <w:szCs w:val="20"/>
        </w:rPr>
      </w:pPr>
      <w:r w:rsidRPr="006868B4">
        <w:rPr>
          <w:rFonts w:asciiTheme="minorHAnsi" w:hAnsiTheme="minorHAnsi" w:cstheme="minorHAnsi"/>
          <w:color w:val="000000" w:themeColor="text1"/>
        </w:rPr>
        <w:t xml:space="preserve">ClinicalTrials.gov </w:t>
      </w:r>
      <w:r w:rsidRPr="00966DFF">
        <w:rPr>
          <w:rFonts w:asciiTheme="minorHAnsi" w:hAnsiTheme="minorHAnsi" w:cstheme="minorHAnsi"/>
          <w:color w:val="000000" w:themeColor="text1"/>
          <w:vertAlign w:val="superscript"/>
        </w:rPr>
        <w:t xml:space="preserve">(7) </w:t>
      </w:r>
      <w:r w:rsidRPr="006868B4">
        <w:rPr>
          <w:rFonts w:asciiTheme="minorHAnsi" w:hAnsiTheme="minorHAnsi" w:cstheme="minorHAnsi"/>
          <w:color w:val="000000" w:themeColor="text1"/>
        </w:rPr>
        <w:t xml:space="preserve">defines OS as “the time from the date of randomisation to the date of death due to any cause or the date of last contact prior to the date of the data cut off”. </w:t>
      </w:r>
      <w:r>
        <w:rPr>
          <w:rFonts w:asciiTheme="minorHAnsi" w:hAnsiTheme="minorHAnsi" w:cstheme="minorHAnsi"/>
          <w:color w:val="000000" w:themeColor="text1"/>
        </w:rPr>
        <w:t xml:space="preserve">The </w:t>
      </w:r>
      <w:r w:rsidRPr="006868B4">
        <w:rPr>
          <w:rFonts w:asciiTheme="minorHAnsi" w:hAnsiTheme="minorHAnsi" w:cstheme="minorHAnsi"/>
          <w:color w:val="000000" w:themeColor="text1"/>
        </w:rPr>
        <w:t>NETTER-1 trial</w:t>
      </w:r>
      <w:r w:rsidR="005C12DA" w:rsidRPr="005C12DA">
        <w:rPr>
          <w:rFonts w:asciiTheme="minorHAnsi" w:hAnsiTheme="minorHAnsi" w:cstheme="minorHAnsi"/>
          <w:color w:val="000000" w:themeColor="text1"/>
          <w:vertAlign w:val="superscript"/>
        </w:rPr>
        <w:t>8</w:t>
      </w:r>
      <w:r>
        <w:rPr>
          <w:rFonts w:asciiTheme="minorHAnsi" w:hAnsiTheme="minorHAnsi" w:cstheme="minorHAnsi"/>
          <w:color w:val="000000" w:themeColor="text1"/>
        </w:rPr>
        <w:t xml:space="preserve"> reported that the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w:t>
      </w:r>
      <w:r w:rsidRPr="006868B4">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group had an overall survival of 48 months in comparison to the high dose Octreotide 60mg LAR control group of 36.3 months for the treatment of</w:t>
      </w:r>
      <w:r>
        <w:rPr>
          <w:rFonts w:asciiTheme="minorHAnsi" w:hAnsiTheme="minorHAnsi" w:cstheme="minorHAnsi"/>
          <w:color w:val="000000" w:themeColor="text1"/>
        </w:rPr>
        <w:t xml:space="preserve"> advanced, inoperable, unresectable, well differentiated midgut NETs. Although,</w:t>
      </w:r>
      <w:r w:rsidRPr="006868B4">
        <w:rPr>
          <w:rFonts w:asciiTheme="minorHAnsi" w:hAnsiTheme="minorHAnsi" w:cstheme="minorHAnsi"/>
          <w:color w:val="000000" w:themeColor="text1"/>
        </w:rPr>
        <w:t xml:space="preserve"> the five-year overall survival rate was only 1.7% higher than the control group</w:t>
      </w:r>
      <w:r>
        <w:rPr>
          <w:rFonts w:asciiTheme="minorHAnsi" w:hAnsiTheme="minorHAnsi" w:cstheme="minorHAnsi"/>
          <w:color w:val="000000" w:themeColor="text1"/>
        </w:rPr>
        <w:t xml:space="preserve"> and did not reach statistical significance</w:t>
      </w:r>
      <w:r w:rsidR="00A47BD9">
        <w:rPr>
          <w:rFonts w:asciiTheme="minorHAnsi" w:hAnsiTheme="minorHAnsi" w:cstheme="minorHAnsi"/>
          <w:color w:val="000000" w:themeColor="text1"/>
        </w:rPr>
        <w:t>.</w:t>
      </w:r>
      <w:r w:rsidRPr="006868B4">
        <w:rPr>
          <w:rFonts w:asciiTheme="minorHAnsi" w:hAnsiTheme="minorHAnsi" w:cstheme="minorHAnsi"/>
          <w:color w:val="000000" w:themeColor="text1"/>
        </w:rPr>
        <w:t xml:space="preserve"> </w:t>
      </w:r>
      <w:r>
        <w:rPr>
          <w:rFonts w:asciiTheme="minorHAnsi" w:hAnsiTheme="minorHAnsi" w:cstheme="minorHAnsi"/>
          <w:color w:val="000000" w:themeColor="text1"/>
        </w:rPr>
        <w:t>Longer</w:t>
      </w:r>
      <w:r w:rsidR="00A47BD9">
        <w:rPr>
          <w:rFonts w:asciiTheme="minorHAnsi" w:hAnsiTheme="minorHAnsi" w:cstheme="minorHAnsi"/>
          <w:color w:val="000000" w:themeColor="text1"/>
        </w:rPr>
        <w:t>-</w:t>
      </w:r>
      <w:r>
        <w:rPr>
          <w:rFonts w:asciiTheme="minorHAnsi" w:hAnsiTheme="minorHAnsi" w:cstheme="minorHAnsi"/>
          <w:color w:val="000000" w:themeColor="text1"/>
        </w:rPr>
        <w:t xml:space="preserve">term follow up is required to fully evaluate survival benefit in this population. </w:t>
      </w:r>
      <w:r w:rsidRPr="006868B4">
        <w:rPr>
          <w:rFonts w:asciiTheme="minorHAnsi" w:hAnsiTheme="minorHAnsi" w:cstheme="minorHAnsi"/>
          <w:color w:val="000000" w:themeColor="text1"/>
        </w:rPr>
        <w:t>Brabander et al.</w:t>
      </w:r>
      <w:r w:rsidR="00A47BD9" w:rsidRPr="00A47BD9">
        <w:rPr>
          <w:rFonts w:asciiTheme="minorHAnsi" w:hAnsiTheme="minorHAnsi" w:cstheme="minorHAnsi"/>
          <w:color w:val="000000" w:themeColor="text1"/>
          <w:vertAlign w:val="superscript"/>
        </w:rPr>
        <w:t>26</w:t>
      </w:r>
      <w:r w:rsidRPr="006868B4">
        <w:rPr>
          <w:rFonts w:asciiTheme="minorHAnsi" w:hAnsiTheme="minorHAnsi" w:cstheme="minorHAnsi"/>
          <w:color w:val="000000" w:themeColor="text1"/>
        </w:rPr>
        <w:t xml:space="preserve"> identified that</w:t>
      </w:r>
      <w:r>
        <w:rPr>
          <w:rFonts w:asciiTheme="minorHAnsi" w:hAnsiTheme="minorHAnsi" w:cstheme="minorHAnsi"/>
          <w:color w:val="000000" w:themeColor="text1"/>
        </w:rPr>
        <w:t xml:space="preserve"> primary pancreatic NET </w:t>
      </w:r>
      <w:r w:rsidRPr="006868B4">
        <w:rPr>
          <w:rFonts w:asciiTheme="minorHAnsi" w:hAnsiTheme="minorHAnsi" w:cstheme="minorHAnsi"/>
          <w:color w:val="000000" w:themeColor="text1"/>
        </w:rPr>
        <w:t xml:space="preserve">patients had the longest OS </w:t>
      </w:r>
      <w:r w:rsidR="00EF3EA1">
        <w:rPr>
          <w:rFonts w:asciiTheme="minorHAnsi" w:hAnsiTheme="minorHAnsi" w:cstheme="minorHAnsi"/>
          <w:color w:val="000000" w:themeColor="text1"/>
        </w:rPr>
        <w:t>(</w:t>
      </w:r>
      <w:r w:rsidRPr="006868B4">
        <w:rPr>
          <w:rFonts w:asciiTheme="minorHAnsi" w:hAnsiTheme="minorHAnsi" w:cstheme="minorHAnsi"/>
          <w:color w:val="000000" w:themeColor="text1"/>
        </w:rPr>
        <w:t>71 months</w:t>
      </w:r>
      <w:r w:rsidR="00EF3EA1">
        <w:rPr>
          <w:rFonts w:asciiTheme="minorHAnsi" w:hAnsiTheme="minorHAnsi" w:cstheme="minorHAnsi"/>
          <w:color w:val="000000" w:themeColor="text1"/>
        </w:rPr>
        <w:t>)</w:t>
      </w:r>
      <w:r>
        <w:rPr>
          <w:rFonts w:asciiTheme="minorHAnsi" w:hAnsiTheme="minorHAnsi" w:cstheme="minorHAnsi"/>
          <w:color w:val="000000" w:themeColor="text1"/>
        </w:rPr>
        <w:t xml:space="preserve"> out of the NET sites included</w:t>
      </w:r>
      <w:r w:rsidRPr="006868B4">
        <w:rPr>
          <w:rFonts w:asciiTheme="minorHAnsi" w:hAnsiTheme="minorHAnsi" w:cstheme="minorHAnsi"/>
          <w:color w:val="000000" w:themeColor="text1"/>
        </w:rPr>
        <w:t xml:space="preserve">. GEP and pancreatic NETs had the best overall survival amongst all other </w:t>
      </w:r>
      <w:r>
        <w:rPr>
          <w:rFonts w:asciiTheme="minorHAnsi" w:hAnsiTheme="minorHAnsi" w:cstheme="minorHAnsi"/>
          <w:color w:val="000000" w:themeColor="text1"/>
        </w:rPr>
        <w:t>sites</w:t>
      </w:r>
      <w:r w:rsidRPr="006868B4">
        <w:rPr>
          <w:rFonts w:asciiTheme="minorHAnsi" w:hAnsiTheme="minorHAnsi" w:cstheme="minorHAnsi"/>
          <w:color w:val="000000" w:themeColor="text1"/>
        </w:rPr>
        <w:t xml:space="preserve"> of the body</w:t>
      </w:r>
      <w:r w:rsidR="00EF3EA1">
        <w:rPr>
          <w:rFonts w:asciiTheme="minorHAnsi" w:hAnsiTheme="minorHAnsi" w:cstheme="minorHAnsi"/>
          <w:color w:val="000000" w:themeColor="text1"/>
        </w:rPr>
        <w:t>, h</w:t>
      </w:r>
      <w:r w:rsidRPr="006868B4">
        <w:rPr>
          <w:rFonts w:asciiTheme="minorHAnsi" w:hAnsiTheme="minorHAnsi" w:cstheme="minorHAnsi"/>
          <w:color w:val="000000" w:themeColor="text1"/>
        </w:rPr>
        <w:t xml:space="preserve">ighlighting its potential variation in radiosensitivity and treatment response. Two studies </w:t>
      </w:r>
      <w:r>
        <w:rPr>
          <w:rFonts w:asciiTheme="minorHAnsi" w:hAnsiTheme="minorHAnsi" w:cstheme="minorHAnsi"/>
          <w:color w:val="000000" w:themeColor="text1"/>
        </w:rPr>
        <w:t xml:space="preserve">explored </w:t>
      </w:r>
      <w:r w:rsidRPr="006868B4">
        <w:rPr>
          <w:rFonts w:asciiTheme="minorHAnsi" w:hAnsiTheme="minorHAnsi" w:cstheme="minorHAnsi"/>
          <w:color w:val="000000" w:themeColor="text1"/>
        </w:rPr>
        <w:t>combination</w:t>
      </w:r>
      <w:r>
        <w:rPr>
          <w:rFonts w:asciiTheme="minorHAnsi" w:hAnsiTheme="minorHAnsi" w:cstheme="minorHAnsi"/>
          <w:color w:val="000000" w:themeColor="text1"/>
        </w:rPr>
        <w:t>al</w:t>
      </w:r>
      <w:r w:rsidRPr="006868B4">
        <w:rPr>
          <w:rFonts w:asciiTheme="minorHAnsi" w:hAnsiTheme="minorHAnsi" w:cstheme="minorHAnsi"/>
          <w:color w:val="000000" w:themeColor="text1"/>
        </w:rPr>
        <w:t xml:space="preserve"> therapy: </w:t>
      </w:r>
      <w:r w:rsidRPr="006868B4">
        <w:rPr>
          <w:rFonts w:asciiTheme="minorHAnsi" w:hAnsiTheme="minorHAnsi" w:cstheme="minorHAnsi"/>
          <w:color w:val="000000" w:themeColor="text1"/>
          <w:shd w:val="clear" w:color="auto" w:fill="FFFFFF"/>
        </w:rPr>
        <w:t>Marinello et al.</w:t>
      </w:r>
      <w:r w:rsidR="007D5AE7" w:rsidRPr="007D5AE7">
        <w:rPr>
          <w:rFonts w:asciiTheme="minorHAnsi" w:hAnsiTheme="minorHAnsi" w:cstheme="minorHAnsi"/>
          <w:color w:val="000000" w:themeColor="text1"/>
          <w:shd w:val="clear" w:color="auto" w:fill="FFFFFF"/>
          <w:vertAlign w:val="superscript"/>
        </w:rPr>
        <w:t>29</w:t>
      </w:r>
      <w:r w:rsidRPr="00966DFF">
        <w:rPr>
          <w:rFonts w:asciiTheme="minorHAnsi" w:hAnsiTheme="minorHAnsi" w:cstheme="minorHAnsi"/>
          <w:color w:val="000000" w:themeColor="text1"/>
          <w:shd w:val="clear" w:color="auto" w:fill="FFFFFF"/>
          <w:vertAlign w:val="superscript"/>
        </w:rPr>
        <w:t xml:space="preserve"> </w:t>
      </w:r>
      <w:r>
        <w:rPr>
          <w:rFonts w:asciiTheme="minorHAnsi" w:hAnsiTheme="minorHAnsi" w:cstheme="minorHAnsi"/>
          <w:color w:val="000000" w:themeColor="text1"/>
          <w:shd w:val="clear" w:color="auto" w:fill="FFFFFF"/>
        </w:rPr>
        <w:t>with</w:t>
      </w:r>
      <w:r w:rsidRPr="006868B4">
        <w:rPr>
          <w:rFonts w:asciiTheme="minorHAnsi" w:hAnsiTheme="minorHAnsi" w:cstheme="minorHAnsi"/>
          <w:color w:val="000000" w:themeColor="text1"/>
          <w:shd w:val="clear" w:color="auto" w:fill="FFFFFF"/>
        </w:rPr>
        <w:t xml:space="preserve">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w:t>
      </w:r>
      <w:r w:rsidRPr="006868B4">
        <w:rPr>
          <w:rFonts w:asciiTheme="minorHAnsi" w:hAnsiTheme="minorHAnsi" w:cstheme="minorHAnsi"/>
          <w:color w:val="000000" w:themeColor="text1"/>
          <w:shd w:val="clear" w:color="auto" w:fill="FFFFFF"/>
        </w:rPr>
        <w:t xml:space="preserve"> + </w:t>
      </w:r>
      <w:r w:rsidRPr="006868B4">
        <w:rPr>
          <w:rFonts w:asciiTheme="minorHAnsi" w:hAnsiTheme="minorHAnsi" w:cstheme="minorHAnsi"/>
          <w:color w:val="000000" w:themeColor="text1"/>
          <w:vertAlign w:val="superscript"/>
        </w:rPr>
        <w:t>90</w:t>
      </w:r>
      <w:r w:rsidRPr="006868B4">
        <w:rPr>
          <w:rFonts w:asciiTheme="minorHAnsi" w:hAnsiTheme="minorHAnsi" w:cstheme="minorHAnsi"/>
          <w:color w:val="000000" w:themeColor="text1"/>
        </w:rPr>
        <w:t>Y-</w:t>
      </w:r>
      <w:r w:rsidRPr="006868B4">
        <w:rPr>
          <w:rFonts w:asciiTheme="minorHAnsi" w:hAnsiTheme="minorHAnsi" w:cstheme="minorHAnsi"/>
          <w:color w:val="000000" w:themeColor="text1"/>
          <w:shd w:val="clear" w:color="auto" w:fill="FFFFFF"/>
        </w:rPr>
        <w:t>DOTATOC</w:t>
      </w:r>
      <w:r w:rsidR="007D5AE7">
        <w:rPr>
          <w:rFonts w:asciiTheme="minorHAnsi" w:hAnsiTheme="minorHAnsi" w:cstheme="minorHAnsi"/>
          <w:color w:val="000000" w:themeColor="text1"/>
          <w:shd w:val="clear" w:color="auto" w:fill="FFFFFF"/>
        </w:rPr>
        <w:t>,</w:t>
      </w:r>
      <w:r w:rsidRPr="006868B4">
        <w:rPr>
          <w:rFonts w:asciiTheme="minorHAnsi" w:hAnsiTheme="minorHAnsi" w:cstheme="minorHAnsi"/>
          <w:color w:val="000000" w:themeColor="text1"/>
          <w:shd w:val="clear" w:color="auto" w:fill="FFFFFF"/>
        </w:rPr>
        <w:t xml:space="preserve"> whereas Ballal et al.</w:t>
      </w:r>
      <w:r w:rsidR="007D5AE7" w:rsidRPr="007D5AE7">
        <w:rPr>
          <w:rFonts w:asciiTheme="minorHAnsi" w:hAnsiTheme="minorHAnsi" w:cstheme="minorHAnsi"/>
          <w:color w:val="000000" w:themeColor="text1"/>
          <w:shd w:val="clear" w:color="auto" w:fill="FFFFFF"/>
          <w:vertAlign w:val="superscript"/>
        </w:rPr>
        <w:t>25</w:t>
      </w:r>
      <w:r w:rsidRPr="006868B4">
        <w:rPr>
          <w:rFonts w:asciiTheme="minorHAnsi" w:hAnsiTheme="minorHAnsi" w:cstheme="minorHAnsi"/>
          <w:color w:val="000000" w:themeColor="text1"/>
          <w:shd w:val="clear" w:color="auto" w:fill="FFFFFF"/>
        </w:rPr>
        <w:t xml:space="preserve"> investigated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w:t>
      </w:r>
      <w:r w:rsidRPr="006868B4">
        <w:rPr>
          <w:rFonts w:asciiTheme="minorHAnsi" w:hAnsiTheme="minorHAnsi" w:cstheme="minorHAnsi"/>
          <w:color w:val="000000" w:themeColor="text1"/>
          <w:shd w:val="clear" w:color="auto" w:fill="FFFFFF"/>
        </w:rPr>
        <w:t xml:space="preserve"> </w:t>
      </w:r>
      <w:r w:rsidR="00BE0348">
        <w:rPr>
          <w:rFonts w:asciiTheme="minorHAnsi" w:hAnsiTheme="minorHAnsi" w:cstheme="minorHAnsi"/>
          <w:color w:val="000000" w:themeColor="text1"/>
          <w:shd w:val="clear" w:color="auto" w:fill="FFFFFF"/>
        </w:rPr>
        <w:t>+</w:t>
      </w:r>
      <w:r w:rsidRPr="006868B4">
        <w:rPr>
          <w:rFonts w:asciiTheme="minorHAnsi" w:hAnsiTheme="minorHAnsi" w:cstheme="minorHAnsi"/>
          <w:color w:val="000000" w:themeColor="text1"/>
          <w:shd w:val="clear" w:color="auto" w:fill="FFFFFF"/>
        </w:rPr>
        <w:t xml:space="preserve"> capecitabine. </w:t>
      </w:r>
      <w:r>
        <w:rPr>
          <w:rFonts w:asciiTheme="minorHAnsi" w:hAnsiTheme="minorHAnsi" w:cstheme="minorHAnsi"/>
          <w:color w:val="000000" w:themeColor="text1"/>
          <w:shd w:val="clear" w:color="auto" w:fill="FFFFFF"/>
        </w:rPr>
        <w:t xml:space="preserve">The first study showed no OS improvement with combining </w:t>
      </w:r>
      <w:r w:rsidRPr="006868B4">
        <w:rPr>
          <w:rFonts w:asciiTheme="minorHAnsi" w:hAnsiTheme="minorHAnsi" w:cstheme="minorHAnsi"/>
          <w:color w:val="000000" w:themeColor="text1"/>
          <w:vertAlign w:val="superscript"/>
        </w:rPr>
        <w:t>90</w:t>
      </w:r>
      <w:r w:rsidRPr="006868B4">
        <w:rPr>
          <w:rFonts w:asciiTheme="minorHAnsi" w:hAnsiTheme="minorHAnsi" w:cstheme="minorHAnsi"/>
          <w:color w:val="000000" w:themeColor="text1"/>
        </w:rPr>
        <w:t>Y-</w:t>
      </w:r>
      <w:r w:rsidRPr="006868B4">
        <w:rPr>
          <w:rFonts w:asciiTheme="minorHAnsi" w:hAnsiTheme="minorHAnsi" w:cstheme="minorHAnsi"/>
          <w:color w:val="000000" w:themeColor="text1"/>
          <w:shd w:val="clear" w:color="auto" w:fill="FFFFFF"/>
        </w:rPr>
        <w:t>DOTATOC</w:t>
      </w:r>
      <w:r w:rsidR="00BE0348">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likely due to the </w:t>
      </w:r>
      <w:r w:rsidRPr="006868B4">
        <w:rPr>
          <w:rFonts w:asciiTheme="minorHAnsi" w:hAnsiTheme="minorHAnsi" w:cstheme="minorHAnsi"/>
          <w:color w:val="000000" w:themeColor="text1"/>
          <w:shd w:val="clear" w:color="auto" w:fill="FFFFFF"/>
        </w:rPr>
        <w:t>higher energy yield of Yttrium, leading to greater toxicity</w:t>
      </w:r>
      <w:r w:rsidR="00A677AF">
        <w:rPr>
          <w:rFonts w:asciiTheme="minorHAnsi" w:hAnsiTheme="minorHAnsi" w:cstheme="minorHAnsi"/>
          <w:color w:val="000000" w:themeColor="text1"/>
          <w:shd w:val="clear" w:color="auto" w:fill="FFFFFF"/>
        </w:rPr>
        <w:t>.</w:t>
      </w:r>
      <w:r w:rsidR="00A677AF" w:rsidRPr="00A677AF">
        <w:rPr>
          <w:rFonts w:asciiTheme="minorHAnsi" w:hAnsiTheme="minorHAnsi" w:cstheme="minorHAnsi"/>
          <w:color w:val="000000" w:themeColor="text1"/>
          <w:shd w:val="clear" w:color="auto" w:fill="FFFFFF"/>
          <w:vertAlign w:val="superscript"/>
        </w:rPr>
        <w:t>26</w:t>
      </w:r>
      <w:r w:rsidRPr="006868B4">
        <w:rPr>
          <w:rFonts w:asciiTheme="minorHAnsi" w:hAnsiTheme="minorHAnsi" w:cstheme="minorHAnsi"/>
          <w:color w:val="000000" w:themeColor="text1"/>
          <w:shd w:val="clear" w:color="auto" w:fill="FFFFFF"/>
        </w:rPr>
        <w:t xml:space="preserve"> </w:t>
      </w:r>
      <w:r w:rsidRPr="006868B4">
        <w:rPr>
          <w:rFonts w:asciiTheme="minorHAnsi" w:hAnsiTheme="minorHAnsi" w:cstheme="minorHAnsi"/>
          <w:color w:val="000000" w:themeColor="text1"/>
        </w:rPr>
        <w:t xml:space="preserve">Median OS was not reached for the capecitabine and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 xml:space="preserve">Lu-DOTATATE group compared </w:t>
      </w:r>
      <w:r w:rsidR="00A677AF">
        <w:rPr>
          <w:rFonts w:asciiTheme="minorHAnsi" w:hAnsiTheme="minorHAnsi" w:cstheme="minorHAnsi"/>
          <w:color w:val="000000" w:themeColor="text1"/>
        </w:rPr>
        <w:t>with</w:t>
      </w:r>
      <w:r w:rsidRPr="006868B4">
        <w:rPr>
          <w:rFonts w:asciiTheme="minorHAnsi" w:hAnsiTheme="minorHAnsi" w:cstheme="minorHAnsi"/>
          <w:color w:val="000000" w:themeColor="text1"/>
        </w:rPr>
        <w:t xml:space="preserve">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 alone</w:t>
      </w:r>
      <w:r w:rsidR="00A677AF">
        <w:rPr>
          <w:rFonts w:asciiTheme="minorHAnsi" w:hAnsiTheme="minorHAnsi" w:cstheme="minorHAnsi"/>
          <w:color w:val="000000" w:themeColor="text1"/>
        </w:rPr>
        <w:t>;</w:t>
      </w:r>
      <w:r w:rsidRPr="006868B4">
        <w:rPr>
          <w:rFonts w:asciiTheme="minorHAnsi" w:hAnsiTheme="minorHAnsi" w:cstheme="minorHAnsi"/>
          <w:color w:val="000000" w:themeColor="text1"/>
        </w:rPr>
        <w:t xml:space="preserve"> potential benefits were implied in the study</w:t>
      </w:r>
      <w:r w:rsidR="00C82F86">
        <w:rPr>
          <w:rFonts w:asciiTheme="minorHAnsi" w:hAnsiTheme="minorHAnsi" w:cstheme="minorHAnsi"/>
          <w:color w:val="000000" w:themeColor="text1"/>
        </w:rPr>
        <w:t>,</w:t>
      </w:r>
      <w:r w:rsidRPr="006868B4">
        <w:rPr>
          <w:rFonts w:asciiTheme="minorHAnsi" w:hAnsiTheme="minorHAnsi" w:cstheme="minorHAnsi"/>
          <w:color w:val="000000" w:themeColor="text1"/>
        </w:rPr>
        <w:t xml:space="preserve"> however long-term data is needed to determine clinical viability.</w:t>
      </w:r>
    </w:p>
    <w:p w14:paraId="35C3FFEC" w14:textId="77777777" w:rsidR="00016A6E" w:rsidRPr="006868B4" w:rsidRDefault="00016A6E" w:rsidP="00016A6E">
      <w:pPr>
        <w:spacing w:line="276" w:lineRule="auto"/>
        <w:rPr>
          <w:rFonts w:asciiTheme="minorHAnsi" w:hAnsiTheme="minorHAnsi" w:cstheme="minorHAnsi"/>
          <w:color w:val="000000" w:themeColor="text1"/>
          <w:sz w:val="22"/>
          <w:szCs w:val="22"/>
        </w:rPr>
      </w:pPr>
      <w:r w:rsidRPr="006868B4">
        <w:rPr>
          <w:rFonts w:asciiTheme="minorHAnsi" w:hAnsiTheme="minorHAnsi" w:cstheme="minorHAnsi"/>
          <w:color w:val="000000" w:themeColor="text1"/>
          <w:sz w:val="22"/>
          <w:szCs w:val="22"/>
          <w:shd w:val="clear" w:color="auto" w:fill="FFFFFF"/>
        </w:rPr>
        <w:t xml:space="preserve"> </w:t>
      </w:r>
    </w:p>
    <w:p w14:paraId="3B3DDC4C" w14:textId="77777777" w:rsidR="00016A6E" w:rsidRPr="00C82F86" w:rsidRDefault="00016A6E" w:rsidP="00016A6E">
      <w:pPr>
        <w:spacing w:line="276" w:lineRule="auto"/>
        <w:rPr>
          <w:rFonts w:asciiTheme="minorHAnsi" w:hAnsiTheme="minorHAnsi" w:cstheme="minorHAnsi"/>
          <w:i/>
          <w:iCs/>
          <w:color w:val="000000" w:themeColor="text1"/>
        </w:rPr>
      </w:pPr>
      <w:r w:rsidRPr="00C82F86">
        <w:rPr>
          <w:rFonts w:asciiTheme="minorHAnsi" w:hAnsiTheme="minorHAnsi" w:cstheme="minorHAnsi"/>
          <w:i/>
          <w:iCs/>
          <w:color w:val="000000" w:themeColor="text1"/>
        </w:rPr>
        <w:t>Progression free survival [PFS]</w:t>
      </w:r>
    </w:p>
    <w:p w14:paraId="5EC434C7" w14:textId="4B99A47F" w:rsidR="00016A6E" w:rsidRPr="00702083" w:rsidRDefault="00016A6E" w:rsidP="00016A6E">
      <w:pPr>
        <w:spacing w:line="276" w:lineRule="auto"/>
        <w:rPr>
          <w:rFonts w:asciiTheme="minorHAnsi" w:hAnsiTheme="minorHAnsi" w:cstheme="minorHAnsi"/>
          <w:color w:val="000000" w:themeColor="text1"/>
          <w:sz w:val="28"/>
          <w:szCs w:val="28"/>
        </w:rPr>
      </w:pPr>
      <w:r w:rsidRPr="00314BD9">
        <w:rPr>
          <w:rFonts w:asciiTheme="minorHAnsi" w:hAnsiTheme="minorHAnsi" w:cstheme="minorHAnsi"/>
          <w:color w:val="000000" w:themeColor="text1"/>
        </w:rPr>
        <w:t xml:space="preserve">Disease progression is determined by objective tumour response status using response evaluation criteria in solid </w:t>
      </w:r>
      <w:proofErr w:type="spellStart"/>
      <w:r w:rsidR="00C82F86" w:rsidRPr="00314BD9">
        <w:rPr>
          <w:rFonts w:asciiTheme="minorHAnsi" w:hAnsiTheme="minorHAnsi" w:cstheme="minorHAnsi"/>
          <w:color w:val="000000" w:themeColor="text1"/>
        </w:rPr>
        <w:t>tumors</w:t>
      </w:r>
      <w:proofErr w:type="spellEnd"/>
      <w:r w:rsidRPr="00314BD9">
        <w:rPr>
          <w:rFonts w:asciiTheme="minorHAnsi" w:hAnsiTheme="minorHAnsi" w:cstheme="minorHAnsi"/>
          <w:color w:val="000000" w:themeColor="text1"/>
        </w:rPr>
        <w:t xml:space="preserve"> criteria </w:t>
      </w:r>
      <w:r w:rsidR="00C82F86">
        <w:rPr>
          <w:rFonts w:asciiTheme="minorHAnsi" w:hAnsiTheme="minorHAnsi" w:cstheme="minorHAnsi"/>
          <w:color w:val="000000" w:themeColor="text1"/>
        </w:rPr>
        <w:t>(</w:t>
      </w:r>
      <w:r w:rsidRPr="00314BD9">
        <w:rPr>
          <w:rFonts w:asciiTheme="minorHAnsi" w:hAnsiTheme="minorHAnsi" w:cstheme="minorHAnsi"/>
          <w:color w:val="000000" w:themeColor="text1"/>
        </w:rPr>
        <w:t>RECIST</w:t>
      </w:r>
      <w:r w:rsidR="00C82F86">
        <w:rPr>
          <w:rFonts w:asciiTheme="minorHAnsi" w:hAnsiTheme="minorHAnsi" w:cstheme="minorHAnsi"/>
          <w:color w:val="000000" w:themeColor="text1"/>
        </w:rPr>
        <w:t>)</w:t>
      </w:r>
      <w:r w:rsidRPr="00314BD9">
        <w:rPr>
          <w:rFonts w:asciiTheme="minorHAnsi" w:hAnsiTheme="minorHAnsi" w:cstheme="minorHAnsi"/>
          <w:color w:val="000000" w:themeColor="text1"/>
        </w:rPr>
        <w:t>. All studies assessed tumour shrinkage</w:t>
      </w:r>
      <w:r>
        <w:rPr>
          <w:rFonts w:asciiTheme="minorHAnsi" w:hAnsiTheme="minorHAnsi" w:cstheme="minorHAnsi"/>
          <w:color w:val="000000" w:themeColor="text1"/>
        </w:rPr>
        <w:t xml:space="preserve"> using a standardised imaging approach</w:t>
      </w:r>
      <w:r w:rsidRPr="00314BD9">
        <w:rPr>
          <w:rFonts w:asciiTheme="minorHAnsi" w:hAnsiTheme="minorHAnsi" w:cstheme="minorHAnsi"/>
          <w:color w:val="000000" w:themeColor="text1"/>
        </w:rPr>
        <w:t>, which increases reliability in the comparison of disease progression</w:t>
      </w:r>
      <w:r w:rsidR="00C82F86">
        <w:rPr>
          <w:rFonts w:asciiTheme="minorHAnsi" w:hAnsiTheme="minorHAnsi" w:cstheme="minorHAnsi"/>
          <w:color w:val="000000" w:themeColor="text1"/>
        </w:rPr>
        <w:t>.</w:t>
      </w:r>
      <w:r w:rsidR="00C82F86" w:rsidRPr="00C82F86">
        <w:rPr>
          <w:rFonts w:asciiTheme="minorHAnsi" w:hAnsiTheme="minorHAnsi" w:cstheme="minorHAnsi"/>
          <w:color w:val="000000" w:themeColor="text1"/>
          <w:vertAlign w:val="superscript"/>
        </w:rPr>
        <w:t>31</w:t>
      </w:r>
      <w:r w:rsidRPr="00314BD9">
        <w:rPr>
          <w:rFonts w:asciiTheme="minorHAnsi" w:hAnsiTheme="minorHAnsi" w:cstheme="minorHAnsi"/>
          <w:color w:val="000000" w:themeColor="text1"/>
        </w:rPr>
        <w:t xml:space="preserve"> NETTER-1 recorded a 65.2% PFS at month 20 in the </w:t>
      </w:r>
      <w:r w:rsidRPr="00314BD9">
        <w:rPr>
          <w:rFonts w:asciiTheme="minorHAnsi" w:hAnsiTheme="minorHAnsi" w:cstheme="minorHAnsi"/>
          <w:color w:val="000000" w:themeColor="text1"/>
          <w:vertAlign w:val="superscript"/>
        </w:rPr>
        <w:t>177</w:t>
      </w:r>
      <w:r w:rsidRPr="00314BD9">
        <w:rPr>
          <w:rFonts w:asciiTheme="minorHAnsi" w:hAnsiTheme="minorHAnsi" w:cstheme="minorHAnsi"/>
          <w:color w:val="000000" w:themeColor="text1"/>
        </w:rPr>
        <w:t>Lu-DOTATATE</w:t>
      </w:r>
      <w:r w:rsidRPr="00314BD9">
        <w:rPr>
          <w:rFonts w:asciiTheme="minorHAnsi" w:hAnsiTheme="minorHAnsi" w:cstheme="minorHAnsi"/>
          <w:color w:val="000000" w:themeColor="text1"/>
          <w:shd w:val="clear" w:color="auto" w:fill="FFFFFF"/>
        </w:rPr>
        <w:t xml:space="preserve"> group compared to a 10.8% PFS in the control group</w:t>
      </w:r>
      <w:r w:rsidR="00DA17B1">
        <w:rPr>
          <w:rFonts w:asciiTheme="minorHAnsi" w:hAnsiTheme="minorHAnsi" w:cstheme="minorHAnsi"/>
          <w:color w:val="000000" w:themeColor="text1"/>
          <w:shd w:val="clear" w:color="auto" w:fill="FFFFFF"/>
        </w:rPr>
        <w:t>.</w:t>
      </w:r>
      <w:r w:rsidR="00DA17B1" w:rsidRPr="00DA17B1">
        <w:rPr>
          <w:rFonts w:asciiTheme="minorHAnsi" w:hAnsiTheme="minorHAnsi" w:cstheme="minorHAnsi"/>
          <w:color w:val="000000" w:themeColor="text1"/>
          <w:shd w:val="clear" w:color="auto" w:fill="FFFFFF"/>
          <w:vertAlign w:val="superscript"/>
        </w:rPr>
        <w:t>32</w:t>
      </w:r>
      <w:r w:rsidRPr="00314BD9">
        <w:rPr>
          <w:rFonts w:asciiTheme="minorHAnsi" w:hAnsiTheme="minorHAnsi" w:cstheme="minorHAnsi"/>
          <w:color w:val="000000" w:themeColor="text1"/>
          <w:shd w:val="clear" w:color="auto" w:fill="FFFFFF"/>
        </w:rPr>
        <w:t xml:space="preserve"> </w:t>
      </w:r>
      <w:r w:rsidRPr="00314BD9">
        <w:rPr>
          <w:rFonts w:asciiTheme="minorHAnsi" w:hAnsiTheme="minorHAnsi" w:cstheme="minorHAnsi"/>
          <w:color w:val="000000" w:themeColor="text1"/>
        </w:rPr>
        <w:t xml:space="preserve">NETTER-2 highlighted that combining first line </w:t>
      </w:r>
      <w:r w:rsidRPr="00314BD9">
        <w:rPr>
          <w:rFonts w:asciiTheme="minorHAnsi" w:hAnsiTheme="minorHAnsi" w:cstheme="minorHAnsi"/>
          <w:color w:val="000000" w:themeColor="text1"/>
          <w:vertAlign w:val="superscript"/>
        </w:rPr>
        <w:t>177</w:t>
      </w:r>
      <w:r w:rsidRPr="00314BD9">
        <w:rPr>
          <w:rFonts w:asciiTheme="minorHAnsi" w:hAnsiTheme="minorHAnsi" w:cstheme="minorHAnsi"/>
          <w:color w:val="000000" w:themeColor="text1"/>
        </w:rPr>
        <w:t>Lu-DOTATATE</w:t>
      </w:r>
      <w:r w:rsidRPr="00314BD9">
        <w:rPr>
          <w:rFonts w:asciiTheme="minorHAnsi" w:hAnsiTheme="minorHAnsi" w:cstheme="minorHAnsi"/>
          <w:color w:val="000000" w:themeColor="text1"/>
          <w:shd w:val="clear" w:color="auto" w:fill="FFFFFF"/>
        </w:rPr>
        <w:t xml:space="preserve"> plus </w:t>
      </w:r>
      <w:r>
        <w:rPr>
          <w:rFonts w:asciiTheme="minorHAnsi" w:hAnsiTheme="minorHAnsi" w:cstheme="minorHAnsi"/>
          <w:color w:val="000000" w:themeColor="text1"/>
          <w:shd w:val="clear" w:color="auto" w:fill="FFFFFF"/>
        </w:rPr>
        <w:t>O</w:t>
      </w:r>
      <w:r w:rsidRPr="006868B4">
        <w:rPr>
          <w:rFonts w:asciiTheme="minorHAnsi" w:hAnsiTheme="minorHAnsi" w:cstheme="minorHAnsi"/>
          <w:color w:val="000000" w:themeColor="text1"/>
          <w:shd w:val="clear" w:color="auto" w:fill="FFFFFF"/>
        </w:rPr>
        <w:t>ctreotide LAR significantly</w:t>
      </w:r>
      <w:r>
        <w:rPr>
          <w:rFonts w:asciiTheme="minorHAnsi" w:hAnsiTheme="minorHAnsi" w:cstheme="minorHAnsi"/>
          <w:color w:val="000000" w:themeColor="text1"/>
          <w:shd w:val="clear" w:color="auto" w:fill="FFFFFF"/>
        </w:rPr>
        <w:t xml:space="preserve"> extends</w:t>
      </w:r>
      <w:r w:rsidRPr="006868B4">
        <w:rPr>
          <w:rFonts w:asciiTheme="minorHAnsi" w:hAnsiTheme="minorHAnsi" w:cstheme="minorHAnsi"/>
          <w:color w:val="000000" w:themeColor="text1"/>
          <w:shd w:val="clear" w:color="auto" w:fill="FFFFFF"/>
        </w:rPr>
        <w:t xml:space="preserve"> the median </w:t>
      </w:r>
      <w:r>
        <w:rPr>
          <w:rFonts w:asciiTheme="minorHAnsi" w:hAnsiTheme="minorHAnsi" w:cstheme="minorHAnsi"/>
          <w:color w:val="000000" w:themeColor="text1"/>
          <w:shd w:val="clear" w:color="auto" w:fill="FFFFFF"/>
        </w:rPr>
        <w:t xml:space="preserve">PFS </w:t>
      </w:r>
      <w:r w:rsidRPr="006868B4">
        <w:rPr>
          <w:rFonts w:asciiTheme="minorHAnsi" w:hAnsiTheme="minorHAnsi" w:cstheme="minorHAnsi"/>
          <w:color w:val="000000" w:themeColor="text1"/>
          <w:shd w:val="clear" w:color="auto" w:fill="FFFFFF"/>
        </w:rPr>
        <w:t xml:space="preserve">by 14 months, in </w:t>
      </w:r>
      <w:r>
        <w:rPr>
          <w:rFonts w:asciiTheme="minorHAnsi" w:hAnsiTheme="minorHAnsi" w:cstheme="minorHAnsi"/>
          <w:color w:val="000000" w:themeColor="text1"/>
          <w:shd w:val="clear" w:color="auto" w:fill="FFFFFF"/>
        </w:rPr>
        <w:t xml:space="preserve">advanced </w:t>
      </w:r>
      <w:r w:rsidRPr="006868B4">
        <w:rPr>
          <w:rFonts w:asciiTheme="minorHAnsi" w:hAnsiTheme="minorHAnsi" w:cstheme="minorHAnsi"/>
          <w:color w:val="000000" w:themeColor="text1"/>
          <w:shd w:val="clear" w:color="auto" w:fill="FFFFFF"/>
        </w:rPr>
        <w:t>grade 2 or 3 GEP-</w:t>
      </w:r>
      <w:r>
        <w:rPr>
          <w:rFonts w:asciiTheme="minorHAnsi" w:hAnsiTheme="minorHAnsi" w:cstheme="minorHAnsi"/>
          <w:color w:val="000000" w:themeColor="text1"/>
          <w:shd w:val="clear" w:color="auto" w:fill="FFFFFF"/>
        </w:rPr>
        <w:t>NETs</w:t>
      </w:r>
      <w:r w:rsidR="00DA17B1">
        <w:rPr>
          <w:rFonts w:asciiTheme="minorHAnsi" w:hAnsiTheme="minorHAnsi" w:cstheme="minorHAnsi"/>
          <w:color w:val="000000" w:themeColor="text1"/>
          <w:shd w:val="clear" w:color="auto" w:fill="FFFFFF"/>
        </w:rPr>
        <w:t>.</w:t>
      </w:r>
      <w:r w:rsidR="00DA17B1" w:rsidRPr="00DA17B1">
        <w:rPr>
          <w:rFonts w:asciiTheme="minorHAnsi" w:hAnsiTheme="minorHAnsi" w:cstheme="minorHAnsi"/>
          <w:color w:val="000000" w:themeColor="text1"/>
          <w:shd w:val="clear" w:color="auto" w:fill="FFFFFF"/>
          <w:vertAlign w:val="superscript"/>
        </w:rPr>
        <w:t>30</w:t>
      </w:r>
      <w:r>
        <w:rPr>
          <w:rFonts w:asciiTheme="minorHAnsi" w:hAnsiTheme="minorHAnsi" w:cstheme="minorHAnsi"/>
          <w:color w:val="000000" w:themeColor="text1"/>
          <w:shd w:val="clear" w:color="auto" w:fill="FFFFFF"/>
        </w:rPr>
        <w:t xml:space="preserve"> </w:t>
      </w:r>
      <w:r w:rsidRPr="006868B4">
        <w:rPr>
          <w:rFonts w:asciiTheme="minorHAnsi" w:hAnsiTheme="minorHAnsi" w:cstheme="minorHAnsi"/>
          <w:color w:val="000000" w:themeColor="text1"/>
          <w:shd w:val="clear" w:color="auto" w:fill="FFFFFF"/>
        </w:rPr>
        <w:t xml:space="preserve">Combining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w:t>
      </w:r>
      <w:r w:rsidRPr="006868B4">
        <w:rPr>
          <w:rFonts w:asciiTheme="minorHAnsi" w:hAnsiTheme="minorHAnsi" w:cstheme="minorHAnsi"/>
          <w:color w:val="000000" w:themeColor="text1"/>
          <w:shd w:val="clear" w:color="auto" w:fill="FFFFFF"/>
        </w:rPr>
        <w:t xml:space="preserve"> + </w:t>
      </w:r>
      <w:r w:rsidRPr="006868B4">
        <w:rPr>
          <w:rFonts w:asciiTheme="minorHAnsi" w:hAnsiTheme="minorHAnsi" w:cstheme="minorHAnsi"/>
          <w:color w:val="000000" w:themeColor="text1"/>
          <w:vertAlign w:val="superscript"/>
        </w:rPr>
        <w:t>90</w:t>
      </w:r>
      <w:r w:rsidRPr="006868B4">
        <w:rPr>
          <w:rFonts w:asciiTheme="minorHAnsi" w:hAnsiTheme="minorHAnsi" w:cstheme="minorHAnsi"/>
          <w:color w:val="000000" w:themeColor="text1"/>
        </w:rPr>
        <w:t>Y-</w:t>
      </w:r>
      <w:r w:rsidRPr="006868B4">
        <w:rPr>
          <w:rFonts w:asciiTheme="minorHAnsi" w:hAnsiTheme="minorHAnsi" w:cstheme="minorHAnsi"/>
          <w:color w:val="000000" w:themeColor="text1"/>
          <w:shd w:val="clear" w:color="auto" w:fill="FFFFFF"/>
        </w:rPr>
        <w:t xml:space="preserve">DOTATOC showed an increase by 16.1% in PFS, three years after </w:t>
      </w:r>
      <w:r>
        <w:rPr>
          <w:rFonts w:asciiTheme="minorHAnsi" w:hAnsiTheme="minorHAnsi" w:cstheme="minorHAnsi"/>
          <w:color w:val="000000" w:themeColor="text1"/>
          <w:shd w:val="clear" w:color="auto" w:fill="FFFFFF"/>
        </w:rPr>
        <w:t xml:space="preserve">peptide receptor radionuclide therapy </w:t>
      </w:r>
      <w:r w:rsidR="003A7F6A">
        <w:rPr>
          <w:rFonts w:asciiTheme="minorHAnsi" w:hAnsiTheme="minorHAnsi" w:cstheme="minorHAnsi"/>
          <w:color w:val="000000" w:themeColor="text1"/>
          <w:shd w:val="clear" w:color="auto" w:fill="FFFFFF"/>
        </w:rPr>
        <w:t>(</w:t>
      </w:r>
      <w:r w:rsidRPr="006868B4">
        <w:rPr>
          <w:rFonts w:asciiTheme="minorHAnsi" w:hAnsiTheme="minorHAnsi" w:cstheme="minorHAnsi"/>
          <w:color w:val="000000" w:themeColor="text1"/>
          <w:shd w:val="clear" w:color="auto" w:fill="FFFFFF"/>
        </w:rPr>
        <w:t>PRRT</w:t>
      </w:r>
      <w:r w:rsidR="003A7F6A">
        <w:rPr>
          <w:rFonts w:asciiTheme="minorHAnsi" w:hAnsiTheme="minorHAnsi" w:cstheme="minorHAnsi"/>
          <w:color w:val="000000" w:themeColor="text1"/>
          <w:shd w:val="clear" w:color="auto" w:fill="FFFFFF"/>
        </w:rPr>
        <w:t>).</w:t>
      </w:r>
      <w:r w:rsidR="003A7F6A" w:rsidRPr="003A7F6A">
        <w:rPr>
          <w:rFonts w:asciiTheme="minorHAnsi" w:hAnsiTheme="minorHAnsi" w:cstheme="minorHAnsi"/>
          <w:color w:val="000000" w:themeColor="text1"/>
          <w:shd w:val="clear" w:color="auto" w:fill="FFFFFF"/>
          <w:vertAlign w:val="superscript"/>
        </w:rPr>
        <w:t>29</w:t>
      </w:r>
      <w:r w:rsidRPr="006868B4">
        <w:rPr>
          <w:rFonts w:asciiTheme="minorHAnsi" w:hAnsiTheme="minorHAnsi" w:cstheme="minorHAnsi"/>
          <w:color w:val="000000" w:themeColor="text1"/>
          <w:shd w:val="clear" w:color="auto" w:fill="FFFFFF"/>
        </w:rPr>
        <w:t xml:space="preserve"> However,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w:t>
      </w:r>
      <w:r w:rsidRPr="006868B4">
        <w:rPr>
          <w:rFonts w:asciiTheme="minorHAnsi" w:hAnsiTheme="minorHAnsi" w:cstheme="minorHAnsi"/>
          <w:color w:val="000000" w:themeColor="text1"/>
          <w:shd w:val="clear" w:color="auto" w:fill="FFFFFF"/>
        </w:rPr>
        <w:t xml:space="preserve"> alone had a greater stable disease rate of 45.8%</w:t>
      </w:r>
      <w:r>
        <w:rPr>
          <w:rFonts w:asciiTheme="minorHAnsi" w:hAnsiTheme="minorHAnsi" w:cstheme="minorHAnsi"/>
          <w:color w:val="000000" w:themeColor="text1"/>
          <w:shd w:val="clear" w:color="auto" w:fill="FFFFFF"/>
        </w:rPr>
        <w:t xml:space="preserve"> i</w:t>
      </w:r>
      <w:r w:rsidRPr="006868B4">
        <w:rPr>
          <w:rFonts w:asciiTheme="minorHAnsi" w:hAnsiTheme="minorHAnsi" w:cstheme="minorHAnsi"/>
          <w:color w:val="000000" w:themeColor="text1"/>
          <w:shd w:val="clear" w:color="auto" w:fill="FFFFFF"/>
        </w:rPr>
        <w:t>ndicating that dual radioisotope therapy does</w:t>
      </w:r>
      <w:r>
        <w:rPr>
          <w:rFonts w:asciiTheme="minorHAnsi" w:hAnsiTheme="minorHAnsi" w:cstheme="minorHAnsi"/>
          <w:color w:val="000000" w:themeColor="text1"/>
          <w:shd w:val="clear" w:color="auto" w:fill="FFFFFF"/>
        </w:rPr>
        <w:t xml:space="preserve"> not</w:t>
      </w:r>
      <w:r w:rsidRPr="006868B4">
        <w:rPr>
          <w:rFonts w:asciiTheme="minorHAnsi" w:hAnsiTheme="minorHAnsi" w:cstheme="minorHAnsi"/>
          <w:color w:val="000000" w:themeColor="text1"/>
          <w:shd w:val="clear" w:color="auto" w:fill="FFFFFF"/>
        </w:rPr>
        <w:t xml:space="preserve"> necessarily hold superiority</w:t>
      </w:r>
      <w:r>
        <w:rPr>
          <w:rFonts w:asciiTheme="minorHAnsi" w:hAnsiTheme="minorHAnsi" w:cstheme="minorHAnsi"/>
          <w:color w:val="000000" w:themeColor="text1"/>
          <w:shd w:val="clear" w:color="auto" w:fill="FFFFFF"/>
        </w:rPr>
        <w:t xml:space="preserve">. Alsadik, Demirci et al., </w:t>
      </w:r>
      <w:r w:rsidR="005B6973">
        <w:rPr>
          <w:rFonts w:asciiTheme="minorHAnsi" w:hAnsiTheme="minorHAnsi" w:cstheme="minorHAnsi"/>
          <w:color w:val="000000" w:themeColor="text1"/>
          <w:shd w:val="clear" w:color="auto" w:fill="FFFFFF"/>
        </w:rPr>
        <w:t xml:space="preserve">and </w:t>
      </w:r>
      <w:r>
        <w:rPr>
          <w:rFonts w:asciiTheme="minorHAnsi" w:hAnsiTheme="minorHAnsi" w:cstheme="minorHAnsi"/>
          <w:color w:val="000000" w:themeColor="text1"/>
          <w:shd w:val="clear" w:color="auto" w:fill="FFFFFF"/>
        </w:rPr>
        <w:t>Lin et al.</w:t>
      </w:r>
      <w:r w:rsidR="004E3D50" w:rsidRPr="004E3D50">
        <w:rPr>
          <w:rFonts w:asciiTheme="minorHAnsi" w:hAnsiTheme="minorHAnsi" w:cstheme="minorHAnsi"/>
          <w:color w:val="000000" w:themeColor="text1"/>
          <w:shd w:val="clear" w:color="auto" w:fill="FFFFFF"/>
          <w:vertAlign w:val="superscript"/>
        </w:rPr>
        <w:t>24,27,28</w:t>
      </w:r>
      <w:r>
        <w:rPr>
          <w:rFonts w:asciiTheme="minorHAnsi" w:hAnsiTheme="minorHAnsi" w:cstheme="minorHAnsi"/>
          <w:color w:val="000000" w:themeColor="text1"/>
          <w:shd w:val="clear" w:color="auto" w:fill="FFFFFF"/>
        </w:rPr>
        <w:t xml:space="preserve"> </w:t>
      </w:r>
      <w:r w:rsidRPr="006868B4">
        <w:rPr>
          <w:rFonts w:asciiTheme="minorHAnsi" w:hAnsiTheme="minorHAnsi" w:cstheme="minorHAnsi"/>
          <w:color w:val="000000" w:themeColor="text1"/>
          <w:shd w:val="clear" w:color="auto" w:fill="FFFFFF"/>
        </w:rPr>
        <w:t>had results similar</w:t>
      </w:r>
      <w:r w:rsidR="004E3D50">
        <w:rPr>
          <w:rFonts w:asciiTheme="minorHAnsi" w:hAnsiTheme="minorHAnsi" w:cstheme="minorHAnsi"/>
          <w:color w:val="000000" w:themeColor="text1"/>
          <w:shd w:val="clear" w:color="auto" w:fill="FFFFFF"/>
        </w:rPr>
        <w:t xml:space="preserve"> to the NETTER trials</w:t>
      </w:r>
      <w:r w:rsidR="00FF43CB">
        <w:rPr>
          <w:rFonts w:asciiTheme="minorHAnsi" w:hAnsiTheme="minorHAnsi" w:cstheme="minorHAnsi"/>
          <w:color w:val="000000" w:themeColor="text1"/>
          <w:shd w:val="clear" w:color="auto" w:fill="FFFFFF"/>
        </w:rPr>
        <w:t>,</w:t>
      </w:r>
      <w:r w:rsidRPr="006868B4">
        <w:rPr>
          <w:rFonts w:asciiTheme="minorHAnsi" w:hAnsiTheme="minorHAnsi" w:cstheme="minorHAnsi"/>
          <w:color w:val="000000" w:themeColor="text1"/>
          <w:shd w:val="clear" w:color="auto" w:fill="FFFFFF"/>
        </w:rPr>
        <w:t xml:space="preserve"> which strongly suggests that PRRT </w:t>
      </w:r>
      <w:r>
        <w:rPr>
          <w:rFonts w:asciiTheme="minorHAnsi" w:hAnsiTheme="minorHAnsi" w:cstheme="minorHAnsi"/>
          <w:color w:val="000000" w:themeColor="text1"/>
          <w:shd w:val="clear" w:color="auto" w:fill="FFFFFF"/>
        </w:rPr>
        <w:t xml:space="preserve">can </w:t>
      </w:r>
      <w:r w:rsidRPr="006868B4">
        <w:rPr>
          <w:rFonts w:asciiTheme="minorHAnsi" w:hAnsiTheme="minorHAnsi" w:cstheme="minorHAnsi"/>
          <w:color w:val="000000" w:themeColor="text1"/>
          <w:shd w:val="clear" w:color="auto" w:fill="FFFFFF"/>
        </w:rPr>
        <w:t xml:space="preserve">contribute to the management of the disease. </w:t>
      </w:r>
      <w:r w:rsidRPr="001647A4">
        <w:rPr>
          <w:rFonts w:asciiTheme="minorHAnsi" w:hAnsiTheme="minorHAnsi" w:cstheme="minorHAnsi"/>
          <w:color w:val="000000" w:themeColor="text1"/>
          <w:shd w:val="clear" w:color="auto" w:fill="FFFFFF"/>
        </w:rPr>
        <w:t>Pancreatic NETs had the greatest PFS</w:t>
      </w:r>
      <w:r w:rsidR="00FF43CB">
        <w:rPr>
          <w:rFonts w:asciiTheme="minorHAnsi" w:hAnsiTheme="minorHAnsi" w:cstheme="minorHAnsi"/>
          <w:color w:val="000000" w:themeColor="text1"/>
          <w:shd w:val="clear" w:color="auto" w:fill="FFFFFF"/>
        </w:rPr>
        <w:t>;</w:t>
      </w:r>
      <w:r w:rsidRPr="001647A4">
        <w:rPr>
          <w:rFonts w:asciiTheme="minorHAnsi" w:hAnsiTheme="minorHAnsi" w:cstheme="minorHAnsi"/>
          <w:color w:val="000000" w:themeColor="text1"/>
          <w:shd w:val="clear" w:color="auto" w:fill="FFFFFF"/>
        </w:rPr>
        <w:t xml:space="preserve"> Demirci et al.</w:t>
      </w:r>
      <w:r w:rsidR="00FF43CB" w:rsidRPr="00FF43CB">
        <w:rPr>
          <w:rFonts w:asciiTheme="minorHAnsi" w:hAnsiTheme="minorHAnsi" w:cstheme="minorHAnsi"/>
          <w:color w:val="000000" w:themeColor="text1"/>
          <w:shd w:val="clear" w:color="auto" w:fill="FFFFFF"/>
          <w:vertAlign w:val="superscript"/>
        </w:rPr>
        <w:t>27</w:t>
      </w:r>
      <w:r w:rsidRPr="001647A4">
        <w:rPr>
          <w:rFonts w:asciiTheme="minorHAnsi" w:hAnsiTheme="minorHAnsi" w:cstheme="minorHAnsi"/>
          <w:color w:val="000000" w:themeColor="text1"/>
          <w:shd w:val="clear" w:color="auto" w:fill="FFFFFF"/>
        </w:rPr>
        <w:t xml:space="preserve"> </w:t>
      </w:r>
      <w:r w:rsidR="00FF43CB">
        <w:rPr>
          <w:rFonts w:asciiTheme="minorHAnsi" w:hAnsiTheme="minorHAnsi" w:cstheme="minorHAnsi"/>
          <w:color w:val="000000" w:themeColor="text1"/>
          <w:shd w:val="clear" w:color="auto" w:fill="FFFFFF"/>
        </w:rPr>
        <w:t>reported</w:t>
      </w:r>
      <w:r w:rsidRPr="001647A4">
        <w:rPr>
          <w:rFonts w:asciiTheme="minorHAnsi" w:hAnsiTheme="minorHAnsi" w:cstheme="minorHAnsi"/>
          <w:color w:val="000000" w:themeColor="text1"/>
          <w:shd w:val="clear" w:color="auto" w:fill="FFFFFF"/>
        </w:rPr>
        <w:t xml:space="preserve"> a </w:t>
      </w:r>
      <w:r w:rsidR="00AF2968" w:rsidRPr="001647A4">
        <w:rPr>
          <w:rFonts w:asciiTheme="minorHAnsi" w:hAnsiTheme="minorHAnsi" w:cstheme="minorHAnsi"/>
          <w:color w:val="000000" w:themeColor="text1"/>
          <w:shd w:val="clear" w:color="auto" w:fill="FFFFFF"/>
        </w:rPr>
        <w:t>42.3</w:t>
      </w:r>
      <w:r w:rsidR="00AF2968">
        <w:rPr>
          <w:rFonts w:asciiTheme="minorHAnsi" w:hAnsiTheme="minorHAnsi" w:cstheme="minorHAnsi"/>
          <w:color w:val="000000" w:themeColor="text1"/>
          <w:shd w:val="clear" w:color="auto" w:fill="FFFFFF"/>
        </w:rPr>
        <w:t>-month</w:t>
      </w:r>
      <w:r w:rsidRPr="001647A4">
        <w:rPr>
          <w:rFonts w:asciiTheme="minorHAnsi" w:hAnsiTheme="minorHAnsi" w:cstheme="minorHAnsi"/>
          <w:color w:val="000000" w:themeColor="text1"/>
          <w:shd w:val="clear" w:color="auto" w:fill="FFFFFF"/>
        </w:rPr>
        <w:t xml:space="preserve"> PFS</w:t>
      </w:r>
      <w:r w:rsidR="00FF43CB">
        <w:rPr>
          <w:rFonts w:asciiTheme="minorHAnsi" w:hAnsiTheme="minorHAnsi" w:cstheme="minorHAnsi"/>
          <w:color w:val="000000" w:themeColor="text1"/>
          <w:shd w:val="clear" w:color="auto" w:fill="FFFFFF"/>
        </w:rPr>
        <w:t>,</w:t>
      </w:r>
      <w:r w:rsidRPr="001647A4">
        <w:rPr>
          <w:rFonts w:asciiTheme="minorHAnsi" w:hAnsiTheme="minorHAnsi" w:cstheme="minorHAnsi"/>
          <w:color w:val="000000" w:themeColor="text1"/>
          <w:shd w:val="clear" w:color="auto" w:fill="FFFFFF"/>
        </w:rPr>
        <w:t xml:space="preserve"> however </w:t>
      </w:r>
      <w:proofErr w:type="spellStart"/>
      <w:r w:rsidRPr="001647A4">
        <w:rPr>
          <w:rFonts w:asciiTheme="minorHAnsi" w:hAnsiTheme="minorHAnsi" w:cstheme="minorHAnsi"/>
          <w:color w:val="000000" w:themeColor="text1"/>
          <w:shd w:val="clear" w:color="auto" w:fill="FFFFFF"/>
        </w:rPr>
        <w:t>Alsadik</w:t>
      </w:r>
      <w:proofErr w:type="spellEnd"/>
      <w:r w:rsidRPr="001647A4">
        <w:rPr>
          <w:rFonts w:asciiTheme="minorHAnsi" w:hAnsiTheme="minorHAnsi" w:cstheme="minorHAnsi"/>
          <w:color w:val="000000" w:themeColor="text1"/>
          <w:shd w:val="clear" w:color="auto" w:fill="FFFFFF"/>
        </w:rPr>
        <w:t xml:space="preserve"> et al.</w:t>
      </w:r>
      <w:r w:rsidR="009463A0" w:rsidRPr="009463A0">
        <w:rPr>
          <w:rFonts w:asciiTheme="minorHAnsi" w:hAnsiTheme="minorHAnsi" w:cstheme="minorHAnsi"/>
          <w:color w:val="000000" w:themeColor="text1"/>
          <w:shd w:val="clear" w:color="auto" w:fill="FFFFFF"/>
          <w:vertAlign w:val="superscript"/>
        </w:rPr>
        <w:t>24</w:t>
      </w:r>
      <w:r w:rsidRPr="00966DFF">
        <w:rPr>
          <w:rFonts w:asciiTheme="minorHAnsi" w:hAnsiTheme="minorHAnsi" w:cstheme="minorHAnsi"/>
          <w:color w:val="000000" w:themeColor="text1"/>
          <w:shd w:val="clear" w:color="auto" w:fill="FFFFFF"/>
          <w:vertAlign w:val="superscript"/>
        </w:rPr>
        <w:t xml:space="preserve"> </w:t>
      </w:r>
      <w:r w:rsidRPr="001647A4">
        <w:rPr>
          <w:rFonts w:asciiTheme="minorHAnsi" w:hAnsiTheme="minorHAnsi" w:cstheme="minorHAnsi"/>
          <w:color w:val="000000" w:themeColor="text1"/>
          <w:shd w:val="clear" w:color="auto" w:fill="FFFFFF"/>
        </w:rPr>
        <w:t xml:space="preserve">reported a 26-month PFS. </w:t>
      </w:r>
      <w:r w:rsidR="009463A0">
        <w:rPr>
          <w:rFonts w:asciiTheme="minorHAnsi" w:hAnsiTheme="minorHAnsi" w:cstheme="minorHAnsi"/>
          <w:color w:val="000000" w:themeColor="text1"/>
          <w:shd w:val="clear" w:color="auto" w:fill="FFFFFF"/>
        </w:rPr>
        <w:t>This r</w:t>
      </w:r>
      <w:r w:rsidRPr="001647A4">
        <w:rPr>
          <w:rFonts w:asciiTheme="minorHAnsi" w:hAnsiTheme="minorHAnsi" w:cstheme="minorHAnsi"/>
          <w:color w:val="000000" w:themeColor="text1"/>
          <w:shd w:val="clear" w:color="auto" w:fill="FFFFFF"/>
        </w:rPr>
        <w:t>eflect</w:t>
      </w:r>
      <w:r w:rsidR="009463A0">
        <w:rPr>
          <w:rFonts w:asciiTheme="minorHAnsi" w:hAnsiTheme="minorHAnsi" w:cstheme="minorHAnsi"/>
          <w:color w:val="000000" w:themeColor="text1"/>
          <w:shd w:val="clear" w:color="auto" w:fill="FFFFFF"/>
        </w:rPr>
        <w:t xml:space="preserve">s </w:t>
      </w:r>
      <w:r w:rsidRPr="001647A4">
        <w:rPr>
          <w:rFonts w:asciiTheme="minorHAnsi" w:hAnsiTheme="minorHAnsi" w:cstheme="minorHAnsi"/>
          <w:color w:val="000000" w:themeColor="text1"/>
          <w:shd w:val="clear" w:color="auto" w:fill="FFFFFF"/>
        </w:rPr>
        <w:t xml:space="preserve">potential differences in patient cohorts, treatment regimens and follow up duration. </w:t>
      </w:r>
    </w:p>
    <w:p w14:paraId="5D183F32" w14:textId="77777777" w:rsidR="00016A6E" w:rsidRPr="009463A0" w:rsidRDefault="00016A6E" w:rsidP="009463A0">
      <w:pPr>
        <w:spacing w:before="240" w:line="276" w:lineRule="auto"/>
        <w:rPr>
          <w:rFonts w:asciiTheme="minorHAnsi" w:hAnsiTheme="minorHAnsi" w:cstheme="minorHAnsi"/>
          <w:i/>
          <w:iCs/>
          <w:color w:val="000000" w:themeColor="text1"/>
        </w:rPr>
      </w:pPr>
      <w:r w:rsidRPr="009463A0">
        <w:rPr>
          <w:rFonts w:asciiTheme="minorHAnsi" w:hAnsiTheme="minorHAnsi" w:cstheme="minorHAnsi"/>
          <w:i/>
          <w:iCs/>
          <w:color w:val="000000" w:themeColor="text1"/>
        </w:rPr>
        <w:t>NET subtype comparison</w:t>
      </w:r>
    </w:p>
    <w:p w14:paraId="77B11427" w14:textId="4304CB0B" w:rsidR="00016A6E" w:rsidRPr="006868B4" w:rsidRDefault="00016A6E" w:rsidP="00016A6E">
      <w:pPr>
        <w:spacing w:line="276" w:lineRule="auto"/>
        <w:rPr>
          <w:rFonts w:asciiTheme="minorHAnsi" w:hAnsiTheme="minorHAnsi" w:cstheme="minorHAnsi"/>
          <w:color w:val="000000" w:themeColor="text1"/>
          <w:u w:val="single"/>
        </w:rPr>
      </w:pP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 positively impacted all NET subtypes</w:t>
      </w:r>
      <w:r>
        <w:rPr>
          <w:rFonts w:asciiTheme="minorHAnsi" w:hAnsiTheme="minorHAnsi" w:cstheme="minorHAnsi"/>
          <w:color w:val="000000" w:themeColor="text1"/>
        </w:rPr>
        <w:t>, p</w:t>
      </w:r>
      <w:r w:rsidRPr="006868B4">
        <w:rPr>
          <w:rFonts w:asciiTheme="minorHAnsi" w:hAnsiTheme="minorHAnsi" w:cstheme="minorHAnsi"/>
          <w:color w:val="000000" w:themeColor="text1"/>
        </w:rPr>
        <w:t>articularly in advanced grade 2 or 3 GEP, pancreatic and bronchial NET patients</w:t>
      </w:r>
      <w:r w:rsidR="00AF2968">
        <w:rPr>
          <w:rFonts w:asciiTheme="minorHAnsi" w:hAnsiTheme="minorHAnsi" w:cstheme="minorHAnsi"/>
          <w:color w:val="000000" w:themeColor="text1"/>
        </w:rPr>
        <w:t>.</w:t>
      </w:r>
      <w:r w:rsidR="00AF2968" w:rsidRPr="00AF2968">
        <w:rPr>
          <w:rFonts w:asciiTheme="minorHAnsi" w:hAnsiTheme="minorHAnsi" w:cstheme="minorHAnsi"/>
          <w:color w:val="000000" w:themeColor="text1"/>
          <w:vertAlign w:val="superscript"/>
        </w:rPr>
        <w:t>24</w:t>
      </w:r>
      <w:r w:rsidRPr="006868B4">
        <w:rPr>
          <w:rFonts w:asciiTheme="minorHAnsi" w:hAnsiTheme="minorHAnsi" w:cstheme="minorHAnsi"/>
          <w:color w:val="000000" w:themeColor="text1"/>
        </w:rPr>
        <w:t xml:space="preserve"> NETTER-2 achieved a disease control rate of 90.7% and prolonged PFS by 14.3 months</w:t>
      </w:r>
      <w:r>
        <w:rPr>
          <w:rFonts w:asciiTheme="minorHAnsi" w:hAnsiTheme="minorHAnsi" w:cstheme="minorHAnsi"/>
          <w:color w:val="000000" w:themeColor="text1"/>
        </w:rPr>
        <w:t xml:space="preserve"> in patients with metastatic or locally advanced </w:t>
      </w:r>
      <w:r>
        <w:rPr>
          <w:rFonts w:asciiTheme="minorHAnsi" w:hAnsiTheme="minorHAnsi" w:cstheme="minorHAnsi"/>
          <w:color w:val="000000" w:themeColor="text1"/>
        </w:rPr>
        <w:lastRenderedPageBreak/>
        <w:t>grade 2/3 well differentiated GEP NETs.</w:t>
      </w:r>
      <w:r w:rsidRPr="006868B4">
        <w:rPr>
          <w:rFonts w:asciiTheme="minorHAnsi" w:hAnsiTheme="minorHAnsi" w:cstheme="minorHAnsi"/>
          <w:color w:val="000000" w:themeColor="text1"/>
        </w:rPr>
        <w:t xml:space="preserve">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w:t>
      </w:r>
      <w:r w:rsidRPr="006868B4">
        <w:rPr>
          <w:rFonts w:asciiTheme="minorHAnsi" w:hAnsiTheme="minorHAnsi" w:cstheme="minorHAnsi"/>
          <w:color w:val="000000" w:themeColor="text1"/>
          <w:shd w:val="clear" w:color="auto" w:fill="FFFFFF"/>
        </w:rPr>
        <w:t xml:space="preserve"> bind</w:t>
      </w:r>
      <w:r>
        <w:rPr>
          <w:rFonts w:asciiTheme="minorHAnsi" w:hAnsiTheme="minorHAnsi" w:cstheme="minorHAnsi"/>
          <w:color w:val="000000" w:themeColor="text1"/>
          <w:shd w:val="clear" w:color="auto" w:fill="FFFFFF"/>
        </w:rPr>
        <w:t>s</w:t>
      </w:r>
      <w:r w:rsidRPr="006868B4">
        <w:rPr>
          <w:rFonts w:asciiTheme="minorHAnsi" w:hAnsiTheme="minorHAnsi" w:cstheme="minorHAnsi"/>
          <w:color w:val="000000" w:themeColor="text1"/>
          <w:shd w:val="clear" w:color="auto" w:fill="FFFFFF"/>
        </w:rPr>
        <w:t xml:space="preserve"> to tumour</w:t>
      </w:r>
      <w:r>
        <w:rPr>
          <w:rFonts w:asciiTheme="minorHAnsi" w:hAnsiTheme="minorHAnsi" w:cstheme="minorHAnsi"/>
          <w:color w:val="000000" w:themeColor="text1"/>
          <w:shd w:val="clear" w:color="auto" w:fill="FFFFFF"/>
        </w:rPr>
        <w:t xml:space="preserve"> cell receptors and</w:t>
      </w:r>
      <w:r w:rsidRPr="006868B4">
        <w:rPr>
          <w:rFonts w:asciiTheme="minorHAnsi" w:hAnsiTheme="minorHAnsi" w:cstheme="minorHAnsi"/>
          <w:color w:val="000000" w:themeColor="text1"/>
          <w:shd w:val="clear" w:color="auto" w:fill="FFFFFF"/>
        </w:rPr>
        <w:t xml:space="preserve"> damage their DNA</w:t>
      </w:r>
      <w:r w:rsidR="00F0060F">
        <w:rPr>
          <w:rFonts w:asciiTheme="minorHAnsi" w:hAnsiTheme="minorHAnsi" w:cstheme="minorHAnsi"/>
          <w:color w:val="000000" w:themeColor="text1"/>
          <w:shd w:val="clear" w:color="auto" w:fill="FFFFFF"/>
        </w:rPr>
        <w:t>,</w:t>
      </w:r>
      <w:r w:rsidR="00F0060F" w:rsidRPr="00F0060F">
        <w:rPr>
          <w:rFonts w:asciiTheme="minorHAnsi" w:hAnsiTheme="minorHAnsi" w:cstheme="minorHAnsi"/>
          <w:color w:val="000000" w:themeColor="text1"/>
          <w:shd w:val="clear" w:color="auto" w:fill="FFFFFF"/>
          <w:vertAlign w:val="superscript"/>
        </w:rPr>
        <w:t>2</w:t>
      </w:r>
      <w:r w:rsidRPr="006868B4">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explaining its efficacy in tumours that express somatostatin receptors</w:t>
      </w:r>
      <w:r w:rsidRPr="006868B4">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Across the included studies, non-GEP tumours demonstrated the poorest outcomes with Lin et al.</w:t>
      </w:r>
      <w:r w:rsidR="00120AB8" w:rsidRPr="00120AB8">
        <w:rPr>
          <w:rFonts w:asciiTheme="minorHAnsi" w:hAnsiTheme="minorHAnsi" w:cstheme="minorHAnsi"/>
          <w:color w:val="000000" w:themeColor="text1"/>
          <w:shd w:val="clear" w:color="auto" w:fill="FFFFFF"/>
          <w:vertAlign w:val="superscript"/>
        </w:rPr>
        <w:t>28</w:t>
      </w:r>
      <w:r w:rsidR="00120AB8">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reporting the lowest PFS [12 months] and OS [34.2 months], indicating limited responsiveness to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w:t>
      </w:r>
      <w:r>
        <w:rPr>
          <w:rFonts w:asciiTheme="minorHAnsi" w:hAnsiTheme="minorHAnsi" w:cstheme="minorHAnsi"/>
          <w:color w:val="000000" w:themeColor="text1"/>
          <w:shd w:val="clear" w:color="auto" w:fill="FFFFFF"/>
        </w:rPr>
        <w:t xml:space="preserve">. These findings suggest that tumour origin and receptor expression are key determinants of therapeutic efficacy. </w:t>
      </w:r>
      <w:r w:rsidRPr="006868B4">
        <w:rPr>
          <w:rFonts w:asciiTheme="minorHAnsi" w:hAnsiTheme="minorHAnsi" w:cstheme="minorHAnsi"/>
          <w:color w:val="000000" w:themeColor="text1"/>
          <w:shd w:val="clear" w:color="auto" w:fill="FFFFFF"/>
        </w:rPr>
        <w:t>However</w:t>
      </w:r>
      <w:r>
        <w:rPr>
          <w:rFonts w:asciiTheme="minorHAnsi" w:hAnsiTheme="minorHAnsi" w:cstheme="minorHAnsi"/>
          <w:color w:val="000000" w:themeColor="text1"/>
          <w:shd w:val="clear" w:color="auto" w:fill="FFFFFF"/>
        </w:rPr>
        <w:t xml:space="preserve">, more </w:t>
      </w:r>
      <w:r w:rsidRPr="006868B4">
        <w:rPr>
          <w:rFonts w:asciiTheme="minorHAnsi" w:hAnsiTheme="minorHAnsi" w:cstheme="minorHAnsi"/>
          <w:color w:val="000000" w:themeColor="text1"/>
        </w:rPr>
        <w:t xml:space="preserve">RCTs are needed </w:t>
      </w:r>
      <w:r>
        <w:rPr>
          <w:rFonts w:asciiTheme="minorHAnsi" w:hAnsiTheme="minorHAnsi" w:cstheme="minorHAnsi"/>
          <w:color w:val="000000" w:themeColor="text1"/>
        </w:rPr>
        <w:t xml:space="preserve">with adequately powered sample sizes, stringent randomisation, multiple doses and follow up periods of 10 years to determine definitive effectiveness. </w:t>
      </w:r>
    </w:p>
    <w:p w14:paraId="5AD0E84C" w14:textId="77777777" w:rsidR="00016A6E" w:rsidRPr="00EE5C97" w:rsidRDefault="00016A6E" w:rsidP="00EE5C97">
      <w:pPr>
        <w:spacing w:before="240" w:line="276" w:lineRule="auto"/>
        <w:rPr>
          <w:rFonts w:asciiTheme="minorHAnsi" w:hAnsiTheme="minorHAnsi" w:cstheme="minorHAnsi"/>
          <w:b/>
          <w:bCs/>
          <w:color w:val="000000" w:themeColor="text1"/>
        </w:rPr>
      </w:pPr>
      <w:r w:rsidRPr="00EE5C97">
        <w:rPr>
          <w:rFonts w:asciiTheme="minorHAnsi" w:hAnsiTheme="minorHAnsi" w:cstheme="minorHAnsi"/>
          <w:b/>
          <w:bCs/>
          <w:color w:val="000000" w:themeColor="text1"/>
        </w:rPr>
        <w:t>Study limitations</w:t>
      </w:r>
    </w:p>
    <w:p w14:paraId="2FA6E32A" w14:textId="02DBBB07" w:rsidR="00016A6E" w:rsidRPr="006868B4" w:rsidRDefault="00016A6E" w:rsidP="00016A6E">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This </w:t>
      </w:r>
      <w:r w:rsidRPr="006868B4">
        <w:rPr>
          <w:rFonts w:asciiTheme="minorHAnsi" w:hAnsiTheme="minorHAnsi" w:cstheme="minorHAnsi"/>
          <w:color w:val="000000" w:themeColor="text1"/>
        </w:rPr>
        <w:t xml:space="preserve">review was undertaken by one undergraduate student, </w:t>
      </w:r>
      <w:r>
        <w:rPr>
          <w:rFonts w:asciiTheme="minorHAnsi" w:hAnsiTheme="minorHAnsi" w:cstheme="minorHAnsi"/>
          <w:color w:val="000000" w:themeColor="text1"/>
        </w:rPr>
        <w:t>increasing the risk of bias in the data selection, critical appraisal, analysis, and therefore conclusions</w:t>
      </w:r>
      <w:r w:rsidR="00836749">
        <w:rPr>
          <w:rFonts w:asciiTheme="minorHAnsi" w:hAnsiTheme="minorHAnsi" w:cstheme="minorHAnsi"/>
          <w:color w:val="000000" w:themeColor="text1"/>
        </w:rPr>
        <w:t>.</w:t>
      </w:r>
      <w:r w:rsidR="00836749" w:rsidRPr="00836749">
        <w:rPr>
          <w:rFonts w:asciiTheme="minorHAnsi" w:hAnsiTheme="minorHAnsi" w:cstheme="minorHAnsi"/>
          <w:color w:val="000000" w:themeColor="text1"/>
          <w:vertAlign w:val="superscript"/>
        </w:rPr>
        <w:t>33</w:t>
      </w:r>
      <w:r w:rsidRPr="006868B4">
        <w:rPr>
          <w:rFonts w:asciiTheme="minorHAnsi" w:hAnsiTheme="minorHAnsi" w:cstheme="minorHAnsi"/>
          <w:color w:val="000000" w:themeColor="text1"/>
        </w:rPr>
        <w:t xml:space="preserve"> Therefore, </w:t>
      </w:r>
      <w:r w:rsidR="00836749">
        <w:rPr>
          <w:rFonts w:asciiTheme="minorHAnsi" w:hAnsiTheme="minorHAnsi" w:cstheme="minorHAnsi"/>
          <w:color w:val="000000" w:themeColor="text1"/>
        </w:rPr>
        <w:t>the</w:t>
      </w:r>
      <w:r w:rsidR="0073756A">
        <w:rPr>
          <w:rFonts w:asciiTheme="minorHAnsi" w:hAnsiTheme="minorHAnsi" w:cstheme="minorHAnsi"/>
          <w:color w:val="000000" w:themeColor="text1"/>
        </w:rPr>
        <w:t xml:space="preserve"> </w:t>
      </w:r>
      <w:r w:rsidRPr="006868B4">
        <w:rPr>
          <w:rFonts w:asciiTheme="minorHAnsi" w:hAnsiTheme="minorHAnsi" w:cstheme="minorHAnsi"/>
          <w:color w:val="000000" w:themeColor="text1"/>
        </w:rPr>
        <w:t xml:space="preserve">comprehensiveness of the review cannot be claimed, and review findings should be approached with </w:t>
      </w:r>
      <w:r>
        <w:rPr>
          <w:rFonts w:asciiTheme="minorHAnsi" w:hAnsiTheme="minorHAnsi" w:cstheme="minorHAnsi"/>
          <w:color w:val="000000" w:themeColor="text1"/>
        </w:rPr>
        <w:t xml:space="preserve">some </w:t>
      </w:r>
      <w:r w:rsidRPr="006868B4">
        <w:rPr>
          <w:rFonts w:asciiTheme="minorHAnsi" w:hAnsiTheme="minorHAnsi" w:cstheme="minorHAnsi"/>
          <w:color w:val="000000" w:themeColor="text1"/>
        </w:rPr>
        <w:t xml:space="preserve">caution. </w:t>
      </w:r>
      <w:r>
        <w:rPr>
          <w:rFonts w:asciiTheme="minorHAnsi" w:hAnsiTheme="minorHAnsi" w:cstheme="minorHAnsi"/>
          <w:color w:val="000000" w:themeColor="text1"/>
        </w:rPr>
        <w:t xml:space="preserve">To mitigate these risks, </w:t>
      </w:r>
      <w:r w:rsidRPr="006868B4">
        <w:rPr>
          <w:rFonts w:asciiTheme="minorHAnsi" w:hAnsiTheme="minorHAnsi" w:cstheme="minorHAnsi"/>
          <w:color w:val="000000" w:themeColor="text1"/>
        </w:rPr>
        <w:t>PRISMA guidelines were followed</w:t>
      </w:r>
      <w:r>
        <w:rPr>
          <w:rFonts w:asciiTheme="minorHAnsi" w:hAnsiTheme="minorHAnsi" w:cstheme="minorHAnsi"/>
          <w:color w:val="000000" w:themeColor="text1"/>
        </w:rPr>
        <w:t xml:space="preserve"> to generate and report a transparent audit trail of evidence eligibility and selection</w:t>
      </w:r>
      <w:r w:rsidRPr="006868B4">
        <w:rPr>
          <w:rFonts w:asciiTheme="minorHAnsi" w:hAnsiTheme="minorHAnsi" w:cstheme="minorHAnsi"/>
          <w:color w:val="000000" w:themeColor="text1"/>
        </w:rPr>
        <w:t xml:space="preserve">. Critical appraisal </w:t>
      </w:r>
      <w:r>
        <w:rPr>
          <w:rFonts w:asciiTheme="minorHAnsi" w:hAnsiTheme="minorHAnsi" w:cstheme="minorHAnsi"/>
          <w:color w:val="000000" w:themeColor="text1"/>
        </w:rPr>
        <w:t>was conducted using multiple tools</w:t>
      </w:r>
      <w:r w:rsidR="00E05696">
        <w:rPr>
          <w:rFonts w:asciiTheme="minorHAnsi" w:hAnsiTheme="minorHAnsi" w:cstheme="minorHAnsi"/>
          <w:color w:val="000000" w:themeColor="text1"/>
        </w:rPr>
        <w:t>.</w:t>
      </w:r>
      <w:r w:rsidR="00E05696" w:rsidRPr="00E05696">
        <w:rPr>
          <w:rFonts w:asciiTheme="minorHAnsi" w:hAnsiTheme="minorHAnsi" w:cstheme="minorHAnsi"/>
          <w:color w:val="000000" w:themeColor="text1"/>
          <w:vertAlign w:val="superscript"/>
        </w:rPr>
        <w:t>16</w:t>
      </w:r>
      <w:r>
        <w:rPr>
          <w:rFonts w:asciiTheme="minorHAnsi" w:hAnsiTheme="minorHAnsi" w:cstheme="minorHAnsi"/>
          <w:color w:val="000000" w:themeColor="text1"/>
        </w:rPr>
        <w:t xml:space="preserve"> Despite eligible NETTER-2 data, it remains an ongoing trial, with </w:t>
      </w:r>
      <w:r w:rsidRPr="006868B4">
        <w:rPr>
          <w:rFonts w:asciiTheme="minorHAnsi" w:hAnsiTheme="minorHAnsi" w:cstheme="minorHAnsi"/>
          <w:color w:val="000000" w:themeColor="text1"/>
        </w:rPr>
        <w:t xml:space="preserve">long term OS data </w:t>
      </w:r>
      <w:r>
        <w:rPr>
          <w:rFonts w:asciiTheme="minorHAnsi" w:hAnsiTheme="minorHAnsi" w:cstheme="minorHAnsi"/>
          <w:color w:val="000000" w:themeColor="text1"/>
        </w:rPr>
        <w:t>yet to mature</w:t>
      </w:r>
      <w:r w:rsidRPr="006868B4">
        <w:rPr>
          <w:rFonts w:asciiTheme="minorHAnsi" w:hAnsiTheme="minorHAnsi" w:cstheme="minorHAnsi"/>
          <w:color w:val="000000" w:themeColor="text1"/>
        </w:rPr>
        <w:t>.</w:t>
      </w:r>
      <w:r>
        <w:rPr>
          <w:rFonts w:asciiTheme="minorHAnsi" w:hAnsiTheme="minorHAnsi" w:cstheme="minorHAnsi"/>
          <w:color w:val="000000" w:themeColor="text1"/>
        </w:rPr>
        <w:t xml:space="preserve"> Finally, future systematic review should incorporate meta-analyses to more accurately quantify and synthesise treatment effect sizes.</w:t>
      </w:r>
    </w:p>
    <w:p w14:paraId="413CC9A1" w14:textId="77777777" w:rsidR="00016A6E" w:rsidRPr="0073756A" w:rsidRDefault="00016A6E" w:rsidP="0073756A">
      <w:pPr>
        <w:spacing w:before="240" w:line="276" w:lineRule="auto"/>
        <w:rPr>
          <w:rFonts w:asciiTheme="minorHAnsi" w:hAnsiTheme="minorHAnsi" w:cstheme="minorHAnsi"/>
          <w:b/>
          <w:bCs/>
          <w:color w:val="000000" w:themeColor="text1"/>
        </w:rPr>
      </w:pPr>
      <w:r w:rsidRPr="0073756A">
        <w:rPr>
          <w:rFonts w:asciiTheme="minorHAnsi" w:hAnsiTheme="minorHAnsi" w:cstheme="minorHAnsi"/>
          <w:b/>
          <w:bCs/>
          <w:color w:val="000000" w:themeColor="text1"/>
        </w:rPr>
        <w:t xml:space="preserve">Conclusion and clinical relevance </w:t>
      </w:r>
    </w:p>
    <w:p w14:paraId="5778FD0A" w14:textId="07711FE7" w:rsidR="00F803F0" w:rsidRPr="00F762A7" w:rsidRDefault="00016A6E" w:rsidP="00F803F0">
      <w:pPr>
        <w:spacing w:after="240"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This </w:t>
      </w:r>
      <w:r w:rsidRPr="006868B4">
        <w:rPr>
          <w:rFonts w:asciiTheme="minorHAnsi" w:hAnsiTheme="minorHAnsi" w:cstheme="minorHAnsi"/>
          <w:color w:val="000000" w:themeColor="text1"/>
        </w:rPr>
        <w:t xml:space="preserve">review </w:t>
      </w:r>
      <w:r>
        <w:rPr>
          <w:rFonts w:asciiTheme="minorHAnsi" w:hAnsiTheme="minorHAnsi" w:cstheme="minorHAnsi"/>
          <w:color w:val="000000" w:themeColor="text1"/>
        </w:rPr>
        <w:t>highlights</w:t>
      </w:r>
      <w:r w:rsidRPr="006868B4">
        <w:rPr>
          <w:rFonts w:asciiTheme="minorHAnsi" w:hAnsiTheme="minorHAnsi" w:cstheme="minorHAnsi"/>
          <w:color w:val="000000" w:themeColor="text1"/>
        </w:rPr>
        <w:t xml:space="preserve"> the clinical </w:t>
      </w:r>
      <w:r>
        <w:rPr>
          <w:rFonts w:asciiTheme="minorHAnsi" w:hAnsiTheme="minorHAnsi" w:cstheme="minorHAnsi"/>
          <w:color w:val="000000" w:themeColor="text1"/>
        </w:rPr>
        <w:t>relevance</w:t>
      </w:r>
      <w:r w:rsidRPr="006868B4">
        <w:rPr>
          <w:rFonts w:asciiTheme="minorHAnsi" w:hAnsiTheme="minorHAnsi" w:cstheme="minorHAnsi"/>
          <w:color w:val="000000" w:themeColor="text1"/>
        </w:rPr>
        <w:t xml:space="preserve"> of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 xml:space="preserve">Lu-DOTATATE </w:t>
      </w:r>
      <w:r>
        <w:rPr>
          <w:rFonts w:asciiTheme="minorHAnsi" w:hAnsiTheme="minorHAnsi" w:cstheme="minorHAnsi"/>
          <w:color w:val="000000" w:themeColor="text1"/>
        </w:rPr>
        <w:t xml:space="preserve">in treating </w:t>
      </w:r>
      <w:r w:rsidRPr="006868B4">
        <w:rPr>
          <w:rFonts w:asciiTheme="minorHAnsi" w:hAnsiTheme="minorHAnsi" w:cstheme="minorHAnsi"/>
          <w:color w:val="000000" w:themeColor="text1"/>
        </w:rPr>
        <w:t>NETs, particularly in improving PFS and OS</w:t>
      </w:r>
      <w:r>
        <w:rPr>
          <w:rFonts w:asciiTheme="minorHAnsi" w:hAnsiTheme="minorHAnsi" w:cstheme="minorHAnsi"/>
          <w:color w:val="000000" w:themeColor="text1"/>
        </w:rPr>
        <w:t xml:space="preserve"> across subtypes. The</w:t>
      </w:r>
      <w:r w:rsidRPr="006868B4">
        <w:rPr>
          <w:rFonts w:asciiTheme="minorHAnsi" w:hAnsiTheme="minorHAnsi" w:cstheme="minorHAnsi"/>
          <w:color w:val="000000" w:themeColor="text1"/>
        </w:rPr>
        <w:t xml:space="preserve"> </w:t>
      </w:r>
      <w:r>
        <w:rPr>
          <w:rFonts w:asciiTheme="minorHAnsi" w:hAnsiTheme="minorHAnsi" w:cstheme="minorHAnsi"/>
          <w:color w:val="000000" w:themeColor="text1"/>
        </w:rPr>
        <w:t>NETTER-1</w:t>
      </w:r>
      <w:r w:rsidR="0073756A" w:rsidRPr="0073756A">
        <w:rPr>
          <w:rFonts w:asciiTheme="minorHAnsi" w:hAnsiTheme="minorHAnsi" w:cstheme="minorHAnsi"/>
          <w:color w:val="000000" w:themeColor="text1"/>
          <w:vertAlign w:val="superscript"/>
        </w:rPr>
        <w:t>8</w:t>
      </w:r>
      <w:r>
        <w:rPr>
          <w:rFonts w:asciiTheme="minorHAnsi" w:hAnsiTheme="minorHAnsi" w:cstheme="minorHAnsi"/>
          <w:color w:val="000000" w:themeColor="text1"/>
        </w:rPr>
        <w:t xml:space="preserve"> trial </w:t>
      </w:r>
      <w:r w:rsidRPr="006868B4">
        <w:rPr>
          <w:rFonts w:asciiTheme="minorHAnsi" w:hAnsiTheme="minorHAnsi" w:cstheme="minorHAnsi"/>
          <w:color w:val="000000" w:themeColor="text1"/>
        </w:rPr>
        <w:t>did not reach statistical significance</w:t>
      </w:r>
      <w:r>
        <w:rPr>
          <w:rFonts w:asciiTheme="minorHAnsi" w:hAnsiTheme="minorHAnsi" w:cstheme="minorHAnsi"/>
          <w:color w:val="000000" w:themeColor="text1"/>
        </w:rPr>
        <w:t xml:space="preserve"> regarding OS </w:t>
      </w:r>
      <w:r w:rsidR="00A7768A">
        <w:rPr>
          <w:rFonts w:asciiTheme="minorHAnsi" w:hAnsiTheme="minorHAnsi" w:cstheme="minorHAnsi"/>
          <w:color w:val="000000" w:themeColor="text1"/>
        </w:rPr>
        <w:t xml:space="preserve">in treating midgut </w:t>
      </w:r>
      <w:proofErr w:type="gramStart"/>
      <w:r w:rsidR="00A7768A">
        <w:rPr>
          <w:rFonts w:asciiTheme="minorHAnsi" w:hAnsiTheme="minorHAnsi" w:cstheme="minorHAnsi"/>
          <w:color w:val="000000" w:themeColor="text1"/>
        </w:rPr>
        <w:t>NETS,</w:t>
      </w:r>
      <w:proofErr w:type="gramEnd"/>
      <w:r w:rsidR="00A7768A">
        <w:rPr>
          <w:rFonts w:asciiTheme="minorHAnsi" w:hAnsiTheme="minorHAnsi" w:cstheme="minorHAnsi"/>
          <w:color w:val="000000" w:themeColor="text1"/>
        </w:rPr>
        <w:t xml:space="preserve"> </w:t>
      </w:r>
      <w:r>
        <w:rPr>
          <w:rFonts w:asciiTheme="minorHAnsi" w:hAnsiTheme="minorHAnsi" w:cstheme="minorHAnsi"/>
          <w:color w:val="000000" w:themeColor="text1"/>
        </w:rPr>
        <w:t>however</w:t>
      </w:r>
      <w:r w:rsidRPr="006868B4">
        <w:rPr>
          <w:rFonts w:asciiTheme="minorHAnsi" w:hAnsiTheme="minorHAnsi" w:cstheme="minorHAnsi"/>
          <w:color w:val="000000" w:themeColor="text1"/>
        </w:rPr>
        <w:t xml:space="preserve"> the increased median survival highlights its</w:t>
      </w:r>
      <w:r>
        <w:rPr>
          <w:rFonts w:asciiTheme="minorHAnsi" w:hAnsiTheme="minorHAnsi" w:cstheme="minorHAnsi"/>
          <w:color w:val="000000" w:themeColor="text1"/>
        </w:rPr>
        <w:t xml:space="preserve"> clinical promise for patients with a poor prognosis</w:t>
      </w:r>
      <w:r w:rsidRPr="006868B4">
        <w:rPr>
          <w:rFonts w:asciiTheme="minorHAnsi" w:hAnsiTheme="minorHAnsi" w:cstheme="minorHAnsi"/>
          <w:color w:val="000000" w:themeColor="text1"/>
        </w:rPr>
        <w:t>.</w:t>
      </w:r>
      <w:r>
        <w:rPr>
          <w:rFonts w:asciiTheme="minorHAnsi" w:hAnsiTheme="minorHAnsi" w:cstheme="minorHAnsi"/>
          <w:color w:val="000000" w:themeColor="text1"/>
        </w:rPr>
        <w:t xml:space="preserve"> NETTER-2 trial further demonstrated its therapeutic potential </w:t>
      </w:r>
      <w:r w:rsidR="00E549BB">
        <w:rPr>
          <w:rFonts w:asciiTheme="minorHAnsi" w:hAnsiTheme="minorHAnsi" w:cstheme="minorHAnsi"/>
          <w:color w:val="000000" w:themeColor="text1"/>
        </w:rPr>
        <w:t xml:space="preserve">in patients with any well-differentiated </w:t>
      </w:r>
      <w:r w:rsidR="00886787">
        <w:rPr>
          <w:rFonts w:asciiTheme="minorHAnsi" w:hAnsiTheme="minorHAnsi" w:cstheme="minorHAnsi"/>
          <w:color w:val="000000" w:themeColor="text1"/>
        </w:rPr>
        <w:t xml:space="preserve">somatostatin receptor positive </w:t>
      </w:r>
      <w:proofErr w:type="spellStart"/>
      <w:r w:rsidR="00886787">
        <w:rPr>
          <w:rFonts w:asciiTheme="minorHAnsi" w:hAnsiTheme="minorHAnsi" w:cstheme="minorHAnsi"/>
          <w:color w:val="000000" w:themeColor="text1"/>
        </w:rPr>
        <w:t>gastro</w:t>
      </w:r>
      <w:r w:rsidR="00C619CF">
        <w:rPr>
          <w:rFonts w:asciiTheme="minorHAnsi" w:hAnsiTheme="minorHAnsi" w:cstheme="minorHAnsi"/>
          <w:color w:val="000000" w:themeColor="text1"/>
        </w:rPr>
        <w:t>eneropancreatic</w:t>
      </w:r>
      <w:proofErr w:type="spellEnd"/>
      <w:r w:rsidR="00180488">
        <w:rPr>
          <w:rFonts w:asciiTheme="minorHAnsi" w:hAnsiTheme="minorHAnsi" w:cstheme="minorHAnsi"/>
          <w:color w:val="000000" w:themeColor="text1"/>
        </w:rPr>
        <w:t xml:space="preserve"> (GEP)</w:t>
      </w:r>
      <w:r w:rsidR="00C619CF">
        <w:rPr>
          <w:rFonts w:asciiTheme="minorHAnsi" w:hAnsiTheme="minorHAnsi" w:cstheme="minorHAnsi"/>
          <w:color w:val="000000" w:themeColor="text1"/>
        </w:rPr>
        <w:t xml:space="preserve"> NET, </w:t>
      </w:r>
      <w:r>
        <w:rPr>
          <w:rFonts w:asciiTheme="minorHAnsi" w:hAnsiTheme="minorHAnsi" w:cstheme="minorHAnsi"/>
          <w:color w:val="000000" w:themeColor="text1"/>
        </w:rPr>
        <w:t xml:space="preserve">with a markedly higher disease control rate [90.7% vs 66.7% in the control group] and a substantial improvement in PFS [22.8 vs 8.5 months]. Evidence from NETTER-1 and NETTER-2 confirms that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w:t>
      </w:r>
      <w:r>
        <w:rPr>
          <w:rFonts w:asciiTheme="minorHAnsi" w:hAnsiTheme="minorHAnsi" w:cstheme="minorHAnsi"/>
          <w:color w:val="000000" w:themeColor="text1"/>
        </w:rPr>
        <w:t xml:space="preserve"> is effective in slowing tumour progression and improving survival outcomes, fulfilling the first objective of this review. Pancreatic and GEP</w:t>
      </w:r>
      <w:r w:rsidR="00C619C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NETs consistently showed </w:t>
      </w:r>
      <w:r w:rsidR="002335CE">
        <w:rPr>
          <w:rFonts w:asciiTheme="minorHAnsi" w:hAnsiTheme="minorHAnsi" w:cstheme="minorHAnsi"/>
          <w:color w:val="000000" w:themeColor="text1"/>
        </w:rPr>
        <w:t>positive</w:t>
      </w:r>
      <w:r>
        <w:rPr>
          <w:rFonts w:asciiTheme="minorHAnsi" w:hAnsiTheme="minorHAnsi" w:cstheme="minorHAnsi"/>
          <w:color w:val="000000" w:themeColor="text1"/>
        </w:rPr>
        <w:t xml:space="preserve"> outcomes, while non</w:t>
      </w:r>
      <w:r w:rsidR="002335CE">
        <w:rPr>
          <w:rFonts w:asciiTheme="minorHAnsi" w:hAnsiTheme="minorHAnsi" w:cstheme="minorHAnsi"/>
          <w:color w:val="000000" w:themeColor="text1"/>
        </w:rPr>
        <w:t>-</w:t>
      </w:r>
      <w:r>
        <w:rPr>
          <w:rFonts w:asciiTheme="minorHAnsi" w:hAnsiTheme="minorHAnsi" w:cstheme="minorHAnsi"/>
          <w:color w:val="000000" w:themeColor="text1"/>
        </w:rPr>
        <w:t>GEP</w:t>
      </w:r>
      <w:r w:rsidR="002335C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NETs exhibited more limited benefit, likely reflecting differences in receptor expression and sensitivity, thereby addressing the second objective. Collectively, these findings confirm the therapeutic value of </w:t>
      </w:r>
      <w:r w:rsidRPr="006868B4">
        <w:rPr>
          <w:rFonts w:asciiTheme="minorHAnsi" w:hAnsiTheme="minorHAnsi" w:cstheme="minorHAnsi"/>
          <w:color w:val="000000" w:themeColor="text1"/>
          <w:vertAlign w:val="superscript"/>
        </w:rPr>
        <w:t>177</w:t>
      </w:r>
      <w:r w:rsidRPr="006868B4">
        <w:rPr>
          <w:rFonts w:asciiTheme="minorHAnsi" w:hAnsiTheme="minorHAnsi" w:cstheme="minorHAnsi"/>
          <w:color w:val="000000" w:themeColor="text1"/>
        </w:rPr>
        <w:t>Lu-DOTATATE</w:t>
      </w:r>
      <w:r>
        <w:rPr>
          <w:rFonts w:asciiTheme="minorHAnsi" w:hAnsiTheme="minorHAnsi" w:cstheme="minorHAnsi"/>
          <w:color w:val="000000" w:themeColor="text1"/>
        </w:rPr>
        <w:t xml:space="preserve"> while highlighting variations in response across NET subtypes. </w:t>
      </w:r>
      <w:r w:rsidR="001C284C">
        <w:rPr>
          <w:rFonts w:asciiTheme="minorHAnsi" w:hAnsiTheme="minorHAnsi" w:cstheme="minorHAnsi"/>
          <w:color w:val="000000" w:themeColor="text1"/>
        </w:rPr>
        <w:t>According to Clinical</w:t>
      </w:r>
      <w:r w:rsidR="00F762A7">
        <w:rPr>
          <w:rFonts w:asciiTheme="minorHAnsi" w:hAnsiTheme="minorHAnsi" w:cstheme="minorHAnsi"/>
          <w:color w:val="000000" w:themeColor="text1"/>
        </w:rPr>
        <w:t>Trials.gov</w:t>
      </w:r>
      <w:r w:rsidR="00F762A7" w:rsidRPr="00F762A7">
        <w:rPr>
          <w:rFonts w:asciiTheme="minorHAnsi" w:hAnsiTheme="minorHAnsi" w:cstheme="minorHAnsi"/>
          <w:color w:val="000000" w:themeColor="text1"/>
          <w:vertAlign w:val="superscript"/>
        </w:rPr>
        <w:t>34</w:t>
      </w:r>
      <w:r w:rsidR="00F762A7">
        <w:rPr>
          <w:rFonts w:asciiTheme="minorHAnsi" w:hAnsiTheme="minorHAnsi" w:cstheme="minorHAnsi"/>
          <w:color w:val="000000" w:themeColor="text1"/>
        </w:rPr>
        <w:t xml:space="preserve"> there are 42 ongoing or recruiting trials </w:t>
      </w:r>
      <w:r w:rsidR="005F00E5">
        <w:rPr>
          <w:rFonts w:asciiTheme="minorHAnsi" w:hAnsiTheme="minorHAnsi" w:cstheme="minorHAnsi"/>
          <w:color w:val="000000" w:themeColor="text1"/>
        </w:rPr>
        <w:t xml:space="preserve">in this area. These RCTs are essential to validate drug combination approaches and optimise </w:t>
      </w:r>
      <w:r w:rsidR="005F00E5" w:rsidRPr="006868B4">
        <w:rPr>
          <w:rFonts w:asciiTheme="minorHAnsi" w:hAnsiTheme="minorHAnsi" w:cstheme="minorHAnsi"/>
          <w:color w:val="000000" w:themeColor="text1"/>
          <w:vertAlign w:val="superscript"/>
        </w:rPr>
        <w:t>177</w:t>
      </w:r>
      <w:r w:rsidR="005F00E5" w:rsidRPr="006868B4">
        <w:rPr>
          <w:rFonts w:asciiTheme="minorHAnsi" w:hAnsiTheme="minorHAnsi" w:cstheme="minorHAnsi"/>
          <w:color w:val="000000" w:themeColor="text1"/>
        </w:rPr>
        <w:t>Lu-DOTATATE</w:t>
      </w:r>
      <w:r w:rsidR="005F00E5">
        <w:rPr>
          <w:rFonts w:asciiTheme="minorHAnsi" w:hAnsiTheme="minorHAnsi" w:cstheme="minorHAnsi"/>
          <w:color w:val="000000" w:themeColor="text1"/>
        </w:rPr>
        <w:t xml:space="preserve"> in high-risk NETs.</w:t>
      </w:r>
    </w:p>
    <w:p w14:paraId="2AD1BAB5" w14:textId="77777777" w:rsidR="008C295A" w:rsidRDefault="00016A6E" w:rsidP="00016A6E">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Fu</w:t>
      </w:r>
      <w:r w:rsidR="00F803F0">
        <w:rPr>
          <w:rFonts w:asciiTheme="minorHAnsi" w:hAnsiTheme="minorHAnsi" w:cstheme="minorHAnsi"/>
          <w:color w:val="000000" w:themeColor="text1"/>
        </w:rPr>
        <w:t>ture</w:t>
      </w:r>
      <w:r>
        <w:rPr>
          <w:rFonts w:asciiTheme="minorHAnsi" w:hAnsiTheme="minorHAnsi" w:cstheme="minorHAnsi"/>
          <w:color w:val="000000" w:themeColor="text1"/>
        </w:rPr>
        <w:t xml:space="preserve"> high</w:t>
      </w:r>
      <w:r w:rsidR="00B42EC5">
        <w:rPr>
          <w:rFonts w:asciiTheme="minorHAnsi" w:hAnsiTheme="minorHAnsi" w:cstheme="minorHAnsi"/>
          <w:color w:val="000000" w:themeColor="text1"/>
        </w:rPr>
        <w:t>-</w:t>
      </w:r>
      <w:r>
        <w:rPr>
          <w:rFonts w:asciiTheme="minorHAnsi" w:hAnsiTheme="minorHAnsi" w:cstheme="minorHAnsi"/>
          <w:color w:val="000000" w:themeColor="text1"/>
        </w:rPr>
        <w:t xml:space="preserve">quality </w:t>
      </w:r>
      <w:r w:rsidR="00B42EC5">
        <w:rPr>
          <w:rFonts w:asciiTheme="minorHAnsi" w:hAnsiTheme="minorHAnsi" w:cstheme="minorHAnsi"/>
          <w:color w:val="000000" w:themeColor="text1"/>
        </w:rPr>
        <w:t>trials should aim to</w:t>
      </w:r>
      <w:r w:rsidR="005F00E5">
        <w:rPr>
          <w:rFonts w:asciiTheme="minorHAnsi" w:hAnsiTheme="minorHAnsi" w:cstheme="minorHAnsi"/>
          <w:color w:val="000000" w:themeColor="text1"/>
        </w:rPr>
        <w:t xml:space="preserve"> standardise </w:t>
      </w:r>
      <w:r w:rsidR="00A23644">
        <w:rPr>
          <w:rFonts w:asciiTheme="minorHAnsi" w:hAnsiTheme="minorHAnsi" w:cstheme="minorHAnsi"/>
          <w:color w:val="000000" w:themeColor="text1"/>
        </w:rPr>
        <w:t>protocols in terms of patient characteristics, treatment intervals and dose fractionation and, particularly</w:t>
      </w:r>
      <w:r w:rsidR="00E05FDE">
        <w:rPr>
          <w:rFonts w:asciiTheme="minorHAnsi" w:hAnsiTheme="minorHAnsi" w:cstheme="minorHAnsi"/>
          <w:color w:val="000000" w:themeColor="text1"/>
        </w:rPr>
        <w:t xml:space="preserve">, with administration of combination therapies to ensure </w:t>
      </w:r>
      <w:r w:rsidR="008C295A">
        <w:rPr>
          <w:rFonts w:asciiTheme="minorHAnsi" w:hAnsiTheme="minorHAnsi" w:cstheme="minorHAnsi"/>
          <w:color w:val="000000" w:themeColor="text1"/>
        </w:rPr>
        <w:t xml:space="preserve">comparability across studies. Despite limitations of current data, this review identifies </w:t>
      </w:r>
      <w:r w:rsidR="008C295A" w:rsidRPr="006868B4">
        <w:rPr>
          <w:rFonts w:asciiTheme="minorHAnsi" w:hAnsiTheme="minorHAnsi" w:cstheme="minorHAnsi"/>
          <w:color w:val="000000" w:themeColor="text1"/>
          <w:vertAlign w:val="superscript"/>
        </w:rPr>
        <w:t>177</w:t>
      </w:r>
      <w:r w:rsidR="008C295A" w:rsidRPr="006868B4">
        <w:rPr>
          <w:rFonts w:asciiTheme="minorHAnsi" w:hAnsiTheme="minorHAnsi" w:cstheme="minorHAnsi"/>
          <w:color w:val="000000" w:themeColor="text1"/>
        </w:rPr>
        <w:t xml:space="preserve">Lu-DOTATATE </w:t>
      </w:r>
      <w:r w:rsidR="008C295A">
        <w:rPr>
          <w:rFonts w:asciiTheme="minorHAnsi" w:hAnsiTheme="minorHAnsi" w:cstheme="minorHAnsi"/>
          <w:color w:val="000000" w:themeColor="text1"/>
        </w:rPr>
        <w:t xml:space="preserve">as a major advancement in </w:t>
      </w:r>
      <w:r w:rsidR="008C295A">
        <w:rPr>
          <w:rFonts w:asciiTheme="minorHAnsi" w:hAnsiTheme="minorHAnsi" w:cstheme="minorHAnsi"/>
          <w:color w:val="000000" w:themeColor="text1"/>
        </w:rPr>
        <w:lastRenderedPageBreak/>
        <w:t xml:space="preserve">NET management, especially for GEP-NETs, which holds promise for improving both survival and quality of life in patient population. </w:t>
      </w:r>
    </w:p>
    <w:p w14:paraId="21AD82A0" w14:textId="77777777" w:rsidR="008C295A" w:rsidRDefault="008C295A" w:rsidP="00016A6E">
      <w:pPr>
        <w:spacing w:line="276" w:lineRule="auto"/>
        <w:rPr>
          <w:rFonts w:asciiTheme="minorHAnsi" w:hAnsiTheme="minorHAnsi" w:cstheme="minorHAnsi"/>
          <w:color w:val="000000" w:themeColor="text1"/>
        </w:rPr>
      </w:pPr>
    </w:p>
    <w:p w14:paraId="0BCC9CB9" w14:textId="77FFA0A7" w:rsidR="00822D0A" w:rsidRDefault="00822D0A" w:rsidP="002A19F8">
      <w:pPr>
        <w:spacing w:after="240"/>
        <w:rPr>
          <w:rFonts w:asciiTheme="minorHAnsi" w:hAnsiTheme="minorHAnsi" w:cstheme="minorHAnsi"/>
          <w:b/>
          <w:bCs/>
        </w:rPr>
      </w:pPr>
      <w:r w:rsidRPr="002A19F8">
        <w:rPr>
          <w:rFonts w:asciiTheme="minorHAnsi" w:hAnsiTheme="minorHAnsi" w:cstheme="minorHAnsi"/>
          <w:b/>
          <w:bCs/>
          <w:highlight w:val="yellow"/>
        </w:rPr>
        <w:t>Acknow</w:t>
      </w:r>
      <w:r w:rsidR="002A19F8" w:rsidRPr="002A19F8">
        <w:rPr>
          <w:rFonts w:asciiTheme="minorHAnsi" w:hAnsiTheme="minorHAnsi" w:cstheme="minorHAnsi"/>
          <w:b/>
          <w:bCs/>
          <w:highlight w:val="yellow"/>
        </w:rPr>
        <w:t>ledgements</w:t>
      </w:r>
    </w:p>
    <w:p w14:paraId="70B2E110" w14:textId="4ACBE994" w:rsidR="00016A6E" w:rsidRDefault="008C295A" w:rsidP="003F4E11">
      <w:pPr>
        <w:rPr>
          <w:rFonts w:asciiTheme="minorHAnsi" w:hAnsiTheme="minorHAnsi" w:cstheme="minorHAnsi"/>
          <w:b/>
          <w:bCs/>
        </w:rPr>
      </w:pPr>
      <w:r w:rsidRPr="00F62FAB">
        <w:rPr>
          <w:rFonts w:asciiTheme="minorHAnsi" w:hAnsiTheme="minorHAnsi" w:cstheme="minorHAnsi"/>
          <w:b/>
          <w:bCs/>
        </w:rPr>
        <w:t>References</w:t>
      </w:r>
    </w:p>
    <w:p w14:paraId="57CDF288" w14:textId="21DDE3F7" w:rsidR="005A5368" w:rsidRDefault="005A5368" w:rsidP="003F4E11">
      <w:pPr>
        <w:rPr>
          <w:rFonts w:asciiTheme="minorHAnsi" w:hAnsiTheme="minorHAnsi" w:cstheme="minorHAnsi"/>
        </w:rPr>
      </w:pPr>
      <w:r w:rsidRPr="005A5368">
        <w:rPr>
          <w:rFonts w:asciiTheme="minorHAnsi" w:hAnsiTheme="minorHAnsi" w:cstheme="minorHAnsi"/>
        </w:rPr>
        <w:t xml:space="preserve">1. </w:t>
      </w:r>
      <w:r w:rsidR="00847865" w:rsidRPr="00847865">
        <w:rPr>
          <w:rFonts w:asciiTheme="minorHAnsi" w:hAnsiTheme="minorHAnsi" w:cstheme="minorHAnsi"/>
        </w:rPr>
        <w:t xml:space="preserve">White, B.E. et al. Incidence and survival of neuroendocrine neoplasia in England 1995-2018: A retrospective, population-based study. Lancet Reg Health Eur. 2022; 23(100510). </w:t>
      </w:r>
      <w:proofErr w:type="spellStart"/>
      <w:r w:rsidR="00847865" w:rsidRPr="00847865">
        <w:rPr>
          <w:rFonts w:asciiTheme="minorHAnsi" w:hAnsiTheme="minorHAnsi" w:cstheme="minorHAnsi"/>
        </w:rPr>
        <w:t>doi</w:t>
      </w:r>
      <w:proofErr w:type="spellEnd"/>
      <w:r w:rsidR="00847865" w:rsidRPr="00847865">
        <w:rPr>
          <w:rFonts w:asciiTheme="minorHAnsi" w:hAnsiTheme="minorHAnsi" w:cstheme="minorHAnsi"/>
        </w:rPr>
        <w:t>: 10.1016/j.lanepe.2022.100510</w:t>
      </w:r>
    </w:p>
    <w:p w14:paraId="2DB2C3D9" w14:textId="53F57F28" w:rsidR="005A5368" w:rsidRDefault="005A5368" w:rsidP="003F4E11">
      <w:pPr>
        <w:rPr>
          <w:rFonts w:asciiTheme="minorHAnsi" w:hAnsiTheme="minorHAnsi" w:cstheme="minorHAnsi"/>
        </w:rPr>
      </w:pPr>
      <w:r>
        <w:rPr>
          <w:rFonts w:asciiTheme="minorHAnsi" w:hAnsiTheme="minorHAnsi" w:cstheme="minorHAnsi"/>
        </w:rPr>
        <w:t>2.</w:t>
      </w:r>
      <w:r w:rsidR="00970A52">
        <w:t xml:space="preserve"> </w:t>
      </w:r>
      <w:r w:rsidR="00970A52" w:rsidRPr="00970A52">
        <w:rPr>
          <w:rFonts w:asciiTheme="minorHAnsi" w:hAnsiTheme="minorHAnsi" w:cstheme="minorHAnsi"/>
        </w:rPr>
        <w:t xml:space="preserve">National Cancer Institute [NCI]. </w:t>
      </w:r>
      <w:proofErr w:type="spellStart"/>
      <w:r w:rsidR="00970A52" w:rsidRPr="00970A52">
        <w:rPr>
          <w:rFonts w:asciiTheme="minorHAnsi" w:hAnsiTheme="minorHAnsi" w:cstheme="minorHAnsi"/>
        </w:rPr>
        <w:t>Lutathera</w:t>
      </w:r>
      <w:proofErr w:type="spellEnd"/>
      <w:r w:rsidR="00970A52" w:rsidRPr="00970A52">
        <w:rPr>
          <w:rFonts w:asciiTheme="minorHAnsi" w:hAnsiTheme="minorHAnsi" w:cstheme="minorHAnsi"/>
        </w:rPr>
        <w:t xml:space="preserve"> Shows Promise as Part of Initial Therapy for Some Neuroendocrine </w:t>
      </w:r>
      <w:proofErr w:type="spellStart"/>
      <w:r w:rsidR="00970A52" w:rsidRPr="00970A52">
        <w:rPr>
          <w:rFonts w:asciiTheme="minorHAnsi" w:hAnsiTheme="minorHAnsi" w:cstheme="minorHAnsi"/>
        </w:rPr>
        <w:t>Tumors</w:t>
      </w:r>
      <w:proofErr w:type="spellEnd"/>
      <w:r w:rsidR="00970A52" w:rsidRPr="00970A52">
        <w:rPr>
          <w:rFonts w:asciiTheme="minorHAnsi" w:hAnsiTheme="minorHAnsi" w:cstheme="minorHAnsi"/>
        </w:rPr>
        <w:t>. 2024 [accessed 2 Dec 2024]. Available from: https://www.cancer.gov/news-events/cancer-currents-blog/2024/lutathera-neuroendocrine-tumor-initial-treatment</w:t>
      </w:r>
    </w:p>
    <w:p w14:paraId="6A90098E" w14:textId="34D12F80" w:rsidR="008E3BBC" w:rsidRDefault="008E3BBC" w:rsidP="003F4E11">
      <w:pPr>
        <w:rPr>
          <w:rFonts w:asciiTheme="minorHAnsi" w:hAnsiTheme="minorHAnsi" w:cstheme="minorHAnsi"/>
        </w:rPr>
      </w:pPr>
      <w:r>
        <w:rPr>
          <w:rFonts w:asciiTheme="minorHAnsi" w:hAnsiTheme="minorHAnsi" w:cstheme="minorHAnsi"/>
        </w:rPr>
        <w:t xml:space="preserve">3. </w:t>
      </w:r>
      <w:r w:rsidRPr="008E3BBC">
        <w:rPr>
          <w:rFonts w:asciiTheme="minorHAnsi" w:hAnsiTheme="minorHAnsi" w:cstheme="minorHAnsi"/>
        </w:rPr>
        <w:t xml:space="preserve">Maqsood, M.H., Tameez Ud Din, A. and Khan, A.H. Neuroendocrine </w:t>
      </w:r>
      <w:proofErr w:type="spellStart"/>
      <w:r w:rsidRPr="008E3BBC">
        <w:rPr>
          <w:rFonts w:asciiTheme="minorHAnsi" w:hAnsiTheme="minorHAnsi" w:cstheme="minorHAnsi"/>
        </w:rPr>
        <w:t>Tumor</w:t>
      </w:r>
      <w:proofErr w:type="spellEnd"/>
      <w:r w:rsidRPr="008E3BBC">
        <w:rPr>
          <w:rFonts w:asciiTheme="minorHAnsi" w:hAnsiTheme="minorHAnsi" w:cstheme="minorHAnsi"/>
        </w:rPr>
        <w:t xml:space="preserve"> Therapy with Lutetium-177: A Literature Review. Cureus. 2019; 11(1). </w:t>
      </w:r>
      <w:proofErr w:type="spellStart"/>
      <w:r w:rsidRPr="008E3BBC">
        <w:rPr>
          <w:rFonts w:asciiTheme="minorHAnsi" w:hAnsiTheme="minorHAnsi" w:cstheme="minorHAnsi"/>
        </w:rPr>
        <w:t>doi</w:t>
      </w:r>
      <w:proofErr w:type="spellEnd"/>
      <w:r w:rsidRPr="008E3BBC">
        <w:rPr>
          <w:rFonts w:asciiTheme="minorHAnsi" w:hAnsiTheme="minorHAnsi" w:cstheme="minorHAnsi"/>
        </w:rPr>
        <w:t>: 10.7759/cureus.3986.</w:t>
      </w:r>
    </w:p>
    <w:p w14:paraId="78D208BA" w14:textId="6CB7FFA7" w:rsidR="00073EBB" w:rsidRDefault="00073EBB" w:rsidP="003F4E11">
      <w:pPr>
        <w:rPr>
          <w:rFonts w:asciiTheme="minorHAnsi" w:hAnsiTheme="minorHAnsi" w:cstheme="minorHAnsi"/>
        </w:rPr>
      </w:pPr>
      <w:r>
        <w:rPr>
          <w:rFonts w:asciiTheme="minorHAnsi" w:hAnsiTheme="minorHAnsi" w:cstheme="minorHAnsi"/>
        </w:rPr>
        <w:t xml:space="preserve">4. </w:t>
      </w:r>
      <w:r w:rsidRPr="00073EBB">
        <w:rPr>
          <w:rFonts w:asciiTheme="minorHAnsi" w:hAnsiTheme="minorHAnsi" w:cstheme="minorHAnsi"/>
        </w:rPr>
        <w:t>Das, A., Al-</w:t>
      </w:r>
      <w:proofErr w:type="spellStart"/>
      <w:r w:rsidRPr="00073EBB">
        <w:rPr>
          <w:rFonts w:asciiTheme="minorHAnsi" w:hAnsiTheme="minorHAnsi" w:cstheme="minorHAnsi"/>
        </w:rPr>
        <w:t>Toubah</w:t>
      </w:r>
      <w:proofErr w:type="spellEnd"/>
      <w:r w:rsidRPr="00073EBB">
        <w:rPr>
          <w:rFonts w:asciiTheme="minorHAnsi" w:hAnsiTheme="minorHAnsi" w:cstheme="minorHAnsi"/>
        </w:rPr>
        <w:t xml:space="preserve">, T., El-Haddad, G. and </w:t>
      </w:r>
      <w:proofErr w:type="spellStart"/>
      <w:r w:rsidRPr="00073EBB">
        <w:rPr>
          <w:rFonts w:asciiTheme="minorHAnsi" w:hAnsiTheme="minorHAnsi" w:cstheme="minorHAnsi"/>
        </w:rPr>
        <w:t>Strosberg</w:t>
      </w:r>
      <w:proofErr w:type="spellEnd"/>
      <w:r w:rsidRPr="00073EBB">
        <w:rPr>
          <w:rFonts w:asciiTheme="minorHAnsi" w:hAnsiTheme="minorHAnsi" w:cstheme="minorHAnsi"/>
        </w:rPr>
        <w:t xml:space="preserve">, J. 177Lu-DOTATATE for the treatment of </w:t>
      </w:r>
      <w:proofErr w:type="spellStart"/>
      <w:r w:rsidRPr="00073EBB">
        <w:rPr>
          <w:rFonts w:asciiTheme="minorHAnsi" w:hAnsiTheme="minorHAnsi" w:cstheme="minorHAnsi"/>
        </w:rPr>
        <w:t>gastroenteropancreatic</w:t>
      </w:r>
      <w:proofErr w:type="spellEnd"/>
      <w:r w:rsidRPr="00073EBB">
        <w:rPr>
          <w:rFonts w:asciiTheme="minorHAnsi" w:hAnsiTheme="minorHAnsi" w:cstheme="minorHAnsi"/>
        </w:rPr>
        <w:t xml:space="preserve"> neuroendocrine </w:t>
      </w:r>
      <w:proofErr w:type="spellStart"/>
      <w:r w:rsidRPr="00073EBB">
        <w:rPr>
          <w:rFonts w:asciiTheme="minorHAnsi" w:hAnsiTheme="minorHAnsi" w:cstheme="minorHAnsi"/>
        </w:rPr>
        <w:t>tumors</w:t>
      </w:r>
      <w:proofErr w:type="spellEnd"/>
      <w:r w:rsidRPr="00073EBB">
        <w:rPr>
          <w:rFonts w:asciiTheme="minorHAnsi" w:hAnsiTheme="minorHAnsi" w:cstheme="minorHAnsi"/>
        </w:rPr>
        <w:t xml:space="preserve">. Expert Rev Gastroenterol &amp; Hepatol. 2019; 13(11): pp. 1023-31. </w:t>
      </w:r>
      <w:proofErr w:type="spellStart"/>
      <w:r w:rsidRPr="00073EBB">
        <w:rPr>
          <w:rFonts w:asciiTheme="minorHAnsi" w:hAnsiTheme="minorHAnsi" w:cstheme="minorHAnsi"/>
        </w:rPr>
        <w:t>doi</w:t>
      </w:r>
      <w:proofErr w:type="spellEnd"/>
      <w:r w:rsidRPr="00073EBB">
        <w:rPr>
          <w:rFonts w:asciiTheme="minorHAnsi" w:hAnsiTheme="minorHAnsi" w:cstheme="minorHAnsi"/>
        </w:rPr>
        <w:t>: 10.1080/17474124.2019.1685381</w:t>
      </w:r>
    </w:p>
    <w:p w14:paraId="2A674796" w14:textId="07A2B7C5" w:rsidR="00970A52" w:rsidRDefault="00970A52" w:rsidP="003F4E11">
      <w:pPr>
        <w:rPr>
          <w:rFonts w:asciiTheme="minorHAnsi" w:hAnsiTheme="minorHAnsi" w:cstheme="minorHAnsi"/>
        </w:rPr>
      </w:pPr>
      <w:r>
        <w:rPr>
          <w:rFonts w:asciiTheme="minorHAnsi" w:hAnsiTheme="minorHAnsi" w:cstheme="minorHAnsi"/>
        </w:rPr>
        <w:t>5.</w:t>
      </w:r>
      <w:r w:rsidR="0017277E" w:rsidRPr="0017277E">
        <w:t xml:space="preserve"> </w:t>
      </w:r>
      <w:r w:rsidR="0017277E" w:rsidRPr="0017277E">
        <w:rPr>
          <w:rFonts w:asciiTheme="minorHAnsi" w:hAnsiTheme="minorHAnsi" w:cstheme="minorHAnsi"/>
        </w:rPr>
        <w:t xml:space="preserve">Mittra, E.S. Neuroendocrine </w:t>
      </w:r>
      <w:proofErr w:type="spellStart"/>
      <w:r w:rsidR="0017277E" w:rsidRPr="0017277E">
        <w:rPr>
          <w:rFonts w:asciiTheme="minorHAnsi" w:hAnsiTheme="minorHAnsi" w:cstheme="minorHAnsi"/>
        </w:rPr>
        <w:t>Tumor</w:t>
      </w:r>
      <w:proofErr w:type="spellEnd"/>
      <w:r w:rsidR="0017277E" w:rsidRPr="0017277E">
        <w:rPr>
          <w:rFonts w:asciiTheme="minorHAnsi" w:hAnsiTheme="minorHAnsi" w:cstheme="minorHAnsi"/>
        </w:rPr>
        <w:t xml:space="preserve"> Therapy: 177Lu-DOTATATE. AJR Am J Roentgenol. 2018; 211(2): pp. 278-85. </w:t>
      </w:r>
      <w:proofErr w:type="spellStart"/>
      <w:r w:rsidR="0017277E" w:rsidRPr="0017277E">
        <w:rPr>
          <w:rFonts w:asciiTheme="minorHAnsi" w:hAnsiTheme="minorHAnsi" w:cstheme="minorHAnsi"/>
        </w:rPr>
        <w:t>doi</w:t>
      </w:r>
      <w:proofErr w:type="spellEnd"/>
      <w:r w:rsidR="0017277E" w:rsidRPr="0017277E">
        <w:rPr>
          <w:rFonts w:asciiTheme="minorHAnsi" w:hAnsiTheme="minorHAnsi" w:cstheme="minorHAnsi"/>
        </w:rPr>
        <w:t>: 10.2214/AJR.18.19953</w:t>
      </w:r>
    </w:p>
    <w:p w14:paraId="6883C6F9" w14:textId="0EB58A7D" w:rsidR="0017277E" w:rsidRDefault="004441C6" w:rsidP="003F4E11">
      <w:pPr>
        <w:rPr>
          <w:rFonts w:asciiTheme="minorHAnsi" w:hAnsiTheme="minorHAnsi" w:cstheme="minorHAnsi"/>
        </w:rPr>
      </w:pPr>
      <w:r>
        <w:rPr>
          <w:rFonts w:asciiTheme="minorHAnsi" w:hAnsiTheme="minorHAnsi" w:cstheme="minorHAnsi"/>
        </w:rPr>
        <w:t>6.</w:t>
      </w:r>
      <w:r w:rsidRPr="004441C6">
        <w:t xml:space="preserve"> </w:t>
      </w:r>
      <w:r w:rsidRPr="004441C6">
        <w:rPr>
          <w:rFonts w:asciiTheme="minorHAnsi" w:hAnsiTheme="minorHAnsi" w:cstheme="minorHAnsi"/>
        </w:rPr>
        <w:t xml:space="preserve">Sistani, G., Sutherland, D.E.K., </w:t>
      </w:r>
      <w:proofErr w:type="spellStart"/>
      <w:r w:rsidRPr="004441C6">
        <w:rPr>
          <w:rFonts w:asciiTheme="minorHAnsi" w:hAnsiTheme="minorHAnsi" w:cstheme="minorHAnsi"/>
        </w:rPr>
        <w:t>Mujoomdar</w:t>
      </w:r>
      <w:proofErr w:type="spellEnd"/>
      <w:r w:rsidRPr="004441C6">
        <w:rPr>
          <w:rFonts w:asciiTheme="minorHAnsi" w:hAnsiTheme="minorHAnsi" w:cstheme="minorHAnsi"/>
        </w:rPr>
        <w:t xml:space="preserve">, A., Wiseman, D.P., Khatami, A., Tsvetkova, E. et al. Efficacy of 177Lu-Dotatate Induction and Maintenance Therapy of Various Types of Neuroendocrine </w:t>
      </w:r>
      <w:proofErr w:type="spellStart"/>
      <w:r w:rsidRPr="004441C6">
        <w:rPr>
          <w:rFonts w:asciiTheme="minorHAnsi" w:hAnsiTheme="minorHAnsi" w:cstheme="minorHAnsi"/>
        </w:rPr>
        <w:t>Tumors</w:t>
      </w:r>
      <w:proofErr w:type="spellEnd"/>
      <w:r w:rsidRPr="004441C6">
        <w:rPr>
          <w:rFonts w:asciiTheme="minorHAnsi" w:hAnsiTheme="minorHAnsi" w:cstheme="minorHAnsi"/>
        </w:rPr>
        <w:t xml:space="preserve">: A Phase II Registry Study. Curr Oncol. 2020; 28(1): pp. 115-127. </w:t>
      </w:r>
      <w:proofErr w:type="spellStart"/>
      <w:r w:rsidRPr="004441C6">
        <w:rPr>
          <w:rFonts w:asciiTheme="minorHAnsi" w:hAnsiTheme="minorHAnsi" w:cstheme="minorHAnsi"/>
        </w:rPr>
        <w:t>doi</w:t>
      </w:r>
      <w:proofErr w:type="spellEnd"/>
      <w:r w:rsidRPr="004441C6">
        <w:rPr>
          <w:rFonts w:asciiTheme="minorHAnsi" w:hAnsiTheme="minorHAnsi" w:cstheme="minorHAnsi"/>
        </w:rPr>
        <w:t>: 10.3390/curroncol28010015</w:t>
      </w:r>
    </w:p>
    <w:p w14:paraId="2A6D19B9" w14:textId="1F37931F" w:rsidR="004441C6" w:rsidRDefault="004B3ACF" w:rsidP="003F4E11">
      <w:pPr>
        <w:rPr>
          <w:rFonts w:asciiTheme="minorHAnsi" w:hAnsiTheme="minorHAnsi" w:cstheme="minorHAnsi"/>
          <w:sz w:val="20"/>
          <w:szCs w:val="20"/>
        </w:rPr>
      </w:pPr>
      <w:r>
        <w:rPr>
          <w:rFonts w:asciiTheme="minorHAnsi" w:hAnsiTheme="minorHAnsi" w:cstheme="minorHAnsi"/>
        </w:rPr>
        <w:t xml:space="preserve">7. </w:t>
      </w:r>
      <w:r w:rsidRPr="004B3ACF">
        <w:rPr>
          <w:rFonts w:asciiTheme="minorHAnsi" w:hAnsiTheme="minorHAnsi" w:cstheme="minorHAnsi"/>
        </w:rPr>
        <w:t xml:space="preserve">ClinicalTrials.gov. NCT01578239, A Study Comparing Treatment with 177Lu-DOTA0-Tyr3-Octreotate to Octreotide LAR in Patients with Inoperable, Progressive, Somatostatin Receptor Positive Midgut Carcinoid Tumours (NETTER-1). 2022 [accessed 2 Dec 2024]. Available from: </w:t>
      </w:r>
      <w:hyperlink r:id="rId14" w:history="1">
        <w:r w:rsidRPr="003334C6">
          <w:rPr>
            <w:rStyle w:val="Hyperlink"/>
            <w:rFonts w:asciiTheme="minorHAnsi" w:hAnsiTheme="minorHAnsi" w:cstheme="minorHAnsi"/>
            <w:sz w:val="20"/>
            <w:szCs w:val="20"/>
          </w:rPr>
          <w:t>https://clinicaltrials.gov/study/NCT01578239?cond=Neuroendocrine%20Tumors&amp;intr=Lu-177-DOTATATE&amp;aggFilters=status:com&amp;page=2&amp;rank=11</w:t>
        </w:r>
      </w:hyperlink>
    </w:p>
    <w:p w14:paraId="1705EBCD" w14:textId="4239AD66" w:rsidR="004B3ACF" w:rsidRDefault="004B3ACF" w:rsidP="003F4E11">
      <w:pPr>
        <w:rPr>
          <w:rFonts w:asciiTheme="minorHAnsi" w:hAnsiTheme="minorHAnsi" w:cstheme="minorHAnsi"/>
        </w:rPr>
      </w:pPr>
      <w:r w:rsidRPr="00CF0E88">
        <w:rPr>
          <w:rFonts w:asciiTheme="minorHAnsi" w:hAnsiTheme="minorHAnsi" w:cstheme="minorHAnsi"/>
        </w:rPr>
        <w:t xml:space="preserve">8. </w:t>
      </w:r>
      <w:proofErr w:type="spellStart"/>
      <w:r w:rsidR="00CF0E88" w:rsidRPr="00CF0E88">
        <w:rPr>
          <w:rFonts w:asciiTheme="minorHAnsi" w:hAnsiTheme="minorHAnsi" w:cstheme="minorHAnsi"/>
        </w:rPr>
        <w:t>Strosberg</w:t>
      </w:r>
      <w:proofErr w:type="spellEnd"/>
      <w:r w:rsidR="00CF0E88" w:rsidRPr="00CF0E88">
        <w:rPr>
          <w:rFonts w:asciiTheme="minorHAnsi" w:hAnsiTheme="minorHAnsi" w:cstheme="minorHAnsi"/>
        </w:rPr>
        <w:t xml:space="preserve">, J. et al. Phase 3 Trial of 177Lu-Dotatate for Midgut Neuroendocrine </w:t>
      </w:r>
      <w:proofErr w:type="spellStart"/>
      <w:r w:rsidR="00CF0E88" w:rsidRPr="00CF0E88">
        <w:rPr>
          <w:rFonts w:asciiTheme="minorHAnsi" w:hAnsiTheme="minorHAnsi" w:cstheme="minorHAnsi"/>
        </w:rPr>
        <w:t>Tumors</w:t>
      </w:r>
      <w:proofErr w:type="spellEnd"/>
      <w:r w:rsidR="00CF0E88" w:rsidRPr="00CF0E88">
        <w:rPr>
          <w:rFonts w:asciiTheme="minorHAnsi" w:hAnsiTheme="minorHAnsi" w:cstheme="minorHAnsi"/>
        </w:rPr>
        <w:t xml:space="preserve">. N Engl J Med. 2017; 376(2): pp.125-35. </w:t>
      </w:r>
      <w:proofErr w:type="spellStart"/>
      <w:r w:rsidR="00CF0E88" w:rsidRPr="00CF0E88">
        <w:rPr>
          <w:rFonts w:asciiTheme="minorHAnsi" w:hAnsiTheme="minorHAnsi" w:cstheme="minorHAnsi"/>
        </w:rPr>
        <w:t>doi</w:t>
      </w:r>
      <w:proofErr w:type="spellEnd"/>
      <w:r w:rsidR="00CF0E88" w:rsidRPr="00CF0E88">
        <w:rPr>
          <w:rFonts w:asciiTheme="minorHAnsi" w:hAnsiTheme="minorHAnsi" w:cstheme="minorHAnsi"/>
        </w:rPr>
        <w:t>: 10.1056/NEJMoa1607427</w:t>
      </w:r>
    </w:p>
    <w:p w14:paraId="4A07BFC2" w14:textId="289C7C4A" w:rsidR="00CF0E88" w:rsidRDefault="00CF0E88" w:rsidP="003F4E11">
      <w:pPr>
        <w:rPr>
          <w:rFonts w:asciiTheme="minorHAnsi" w:hAnsiTheme="minorHAnsi" w:cstheme="minorHAnsi"/>
        </w:rPr>
      </w:pPr>
      <w:r>
        <w:rPr>
          <w:rFonts w:asciiTheme="minorHAnsi" w:hAnsiTheme="minorHAnsi" w:cstheme="minorHAnsi"/>
        </w:rPr>
        <w:t xml:space="preserve">9. </w:t>
      </w:r>
      <w:proofErr w:type="spellStart"/>
      <w:r w:rsidRPr="00CF0E88">
        <w:rPr>
          <w:rFonts w:asciiTheme="minorHAnsi" w:hAnsiTheme="minorHAnsi" w:cstheme="minorHAnsi"/>
        </w:rPr>
        <w:t>Paluri</w:t>
      </w:r>
      <w:proofErr w:type="spellEnd"/>
      <w:r w:rsidRPr="00CF0E88">
        <w:rPr>
          <w:rFonts w:asciiTheme="minorHAnsi" w:hAnsiTheme="minorHAnsi" w:cstheme="minorHAnsi"/>
        </w:rPr>
        <w:t xml:space="preserve">, R.K. and Killeen, R.B. 2024. Neuroendocrine </w:t>
      </w:r>
      <w:proofErr w:type="spellStart"/>
      <w:r w:rsidRPr="00CF0E88">
        <w:rPr>
          <w:rFonts w:asciiTheme="minorHAnsi" w:hAnsiTheme="minorHAnsi" w:cstheme="minorHAnsi"/>
        </w:rPr>
        <w:t>Tumor</w:t>
      </w:r>
      <w:proofErr w:type="spellEnd"/>
      <w:r w:rsidRPr="00CF0E88">
        <w:rPr>
          <w:rFonts w:asciiTheme="minorHAnsi" w:hAnsiTheme="minorHAnsi" w:cstheme="minorHAnsi"/>
        </w:rPr>
        <w:t xml:space="preserve"> Lu-177-Dotatate Therapy. </w:t>
      </w:r>
      <w:proofErr w:type="spellStart"/>
      <w:r w:rsidRPr="00CF0E88">
        <w:rPr>
          <w:rFonts w:asciiTheme="minorHAnsi" w:hAnsiTheme="minorHAnsi" w:cstheme="minorHAnsi"/>
        </w:rPr>
        <w:t>StatPearls</w:t>
      </w:r>
      <w:proofErr w:type="spellEnd"/>
      <w:r w:rsidRPr="00CF0E88">
        <w:rPr>
          <w:rFonts w:asciiTheme="minorHAnsi" w:hAnsiTheme="minorHAnsi" w:cstheme="minorHAnsi"/>
        </w:rPr>
        <w:t xml:space="preserve"> [Internet]. Treasure Island: </w:t>
      </w:r>
      <w:proofErr w:type="spellStart"/>
      <w:r w:rsidRPr="00CF0E88">
        <w:rPr>
          <w:rFonts w:asciiTheme="minorHAnsi" w:hAnsiTheme="minorHAnsi" w:cstheme="minorHAnsi"/>
        </w:rPr>
        <w:t>StatPearls</w:t>
      </w:r>
      <w:proofErr w:type="spellEnd"/>
      <w:r w:rsidRPr="00CF0E88">
        <w:rPr>
          <w:rFonts w:asciiTheme="minorHAnsi" w:hAnsiTheme="minorHAnsi" w:cstheme="minorHAnsi"/>
        </w:rPr>
        <w:t xml:space="preserve"> Publishing</w:t>
      </w:r>
    </w:p>
    <w:p w14:paraId="6D65C814" w14:textId="4A289CD9" w:rsidR="00CF0E88" w:rsidRDefault="00CF0E88" w:rsidP="003F4E11">
      <w:pPr>
        <w:rPr>
          <w:rFonts w:asciiTheme="minorHAnsi" w:hAnsiTheme="minorHAnsi" w:cstheme="minorHAnsi"/>
          <w:sz w:val="20"/>
          <w:szCs w:val="20"/>
        </w:rPr>
      </w:pPr>
      <w:r>
        <w:rPr>
          <w:rFonts w:asciiTheme="minorHAnsi" w:hAnsiTheme="minorHAnsi" w:cstheme="minorHAnsi"/>
        </w:rPr>
        <w:t xml:space="preserve">10. </w:t>
      </w:r>
      <w:r w:rsidR="00280A80" w:rsidRPr="00280A80">
        <w:rPr>
          <w:rFonts w:asciiTheme="minorHAnsi" w:hAnsiTheme="minorHAnsi" w:cstheme="minorHAnsi"/>
        </w:rPr>
        <w:t xml:space="preserve">PRISMA. PRISMA Flow Diagram. 2020 [accessed 10 Mar 2025]. Available from: </w:t>
      </w:r>
      <w:hyperlink r:id="rId15" w:history="1">
        <w:r w:rsidR="00280A80" w:rsidRPr="003334C6">
          <w:rPr>
            <w:rStyle w:val="Hyperlink"/>
            <w:rFonts w:asciiTheme="minorHAnsi" w:hAnsiTheme="minorHAnsi" w:cstheme="minorHAnsi"/>
            <w:sz w:val="20"/>
            <w:szCs w:val="20"/>
          </w:rPr>
          <w:t>https://www.prisma-statement.org/prisma-2020-flow-diagram</w:t>
        </w:r>
      </w:hyperlink>
    </w:p>
    <w:p w14:paraId="0A03178C" w14:textId="4E56BC92" w:rsidR="00280A80" w:rsidRDefault="00280A80" w:rsidP="003F4E11">
      <w:pPr>
        <w:rPr>
          <w:rFonts w:asciiTheme="minorHAnsi" w:hAnsiTheme="minorHAnsi" w:cstheme="minorHAnsi"/>
          <w:sz w:val="20"/>
          <w:szCs w:val="20"/>
        </w:rPr>
      </w:pPr>
      <w:r w:rsidRPr="00280A80">
        <w:rPr>
          <w:rFonts w:asciiTheme="minorHAnsi" w:hAnsiTheme="minorHAnsi" w:cstheme="minorHAnsi"/>
        </w:rPr>
        <w:t xml:space="preserve">11. </w:t>
      </w:r>
      <w:r w:rsidR="00054E5B" w:rsidRPr="00054E5B">
        <w:rPr>
          <w:rFonts w:asciiTheme="minorHAnsi" w:hAnsiTheme="minorHAnsi" w:cstheme="minorHAnsi"/>
        </w:rPr>
        <w:t xml:space="preserve">Lasserson, T.J., Thomas, J. and Higgins, J. P.T. Chapter 1: Starting a review. In: Higgins, J. P.T., Thomas, J., Chandler, J., Cumpston, M., Li, T., Page, M.J. and Welch, V.A. Cochrane Handbook for Systematic Reviews for Interventions version 6.5. London: Cochrane; 2021. [accessed 10 Mar 2025]. Available from: </w:t>
      </w:r>
      <w:hyperlink r:id="rId16" w:history="1">
        <w:r w:rsidR="00054E5B" w:rsidRPr="003334C6">
          <w:rPr>
            <w:rStyle w:val="Hyperlink"/>
            <w:rFonts w:asciiTheme="minorHAnsi" w:hAnsiTheme="minorHAnsi" w:cstheme="minorHAnsi"/>
            <w:sz w:val="20"/>
            <w:szCs w:val="20"/>
          </w:rPr>
          <w:t>https://training.cochrane.org/handbook/current/chapter-01</w:t>
        </w:r>
      </w:hyperlink>
    </w:p>
    <w:p w14:paraId="751570C2" w14:textId="2A97891E" w:rsidR="00054E5B" w:rsidRDefault="00054E5B" w:rsidP="003F4E11">
      <w:pPr>
        <w:rPr>
          <w:rFonts w:asciiTheme="minorHAnsi" w:hAnsiTheme="minorHAnsi" w:cstheme="minorHAnsi"/>
        </w:rPr>
      </w:pPr>
      <w:r w:rsidRPr="00054E5B">
        <w:rPr>
          <w:rFonts w:asciiTheme="minorHAnsi" w:hAnsiTheme="minorHAnsi" w:cstheme="minorHAnsi"/>
        </w:rPr>
        <w:t xml:space="preserve">12. </w:t>
      </w:r>
      <w:r w:rsidR="00412935" w:rsidRPr="00412935">
        <w:rPr>
          <w:rFonts w:asciiTheme="minorHAnsi" w:hAnsiTheme="minorHAnsi" w:cstheme="minorHAnsi"/>
        </w:rPr>
        <w:t xml:space="preserve">Pati, D. and Lorusso, L.N. How to Write a Systematic Review of the Literature. HERD. 2017; 11(1): pp. 15-30. </w:t>
      </w:r>
      <w:proofErr w:type="spellStart"/>
      <w:r w:rsidR="00412935" w:rsidRPr="00412935">
        <w:rPr>
          <w:rFonts w:asciiTheme="minorHAnsi" w:hAnsiTheme="minorHAnsi" w:cstheme="minorHAnsi"/>
        </w:rPr>
        <w:t>doi</w:t>
      </w:r>
      <w:proofErr w:type="spellEnd"/>
      <w:r w:rsidR="00412935" w:rsidRPr="00412935">
        <w:rPr>
          <w:rFonts w:asciiTheme="minorHAnsi" w:hAnsiTheme="minorHAnsi" w:cstheme="minorHAnsi"/>
        </w:rPr>
        <w:t>: 10.1177/1937586717747384</w:t>
      </w:r>
    </w:p>
    <w:p w14:paraId="6EC9EC04" w14:textId="35AEAA9A" w:rsidR="00436762" w:rsidRPr="009A6E13" w:rsidRDefault="00436762" w:rsidP="003F4E11">
      <w:pPr>
        <w:rPr>
          <w:rFonts w:asciiTheme="minorHAnsi" w:hAnsiTheme="minorHAnsi" w:cstheme="minorHAnsi"/>
          <w:sz w:val="20"/>
          <w:szCs w:val="20"/>
        </w:rPr>
      </w:pPr>
      <w:r>
        <w:rPr>
          <w:rFonts w:asciiTheme="minorHAnsi" w:hAnsiTheme="minorHAnsi" w:cstheme="minorHAnsi"/>
        </w:rPr>
        <w:t xml:space="preserve">13. </w:t>
      </w:r>
      <w:r w:rsidR="0009473C" w:rsidRPr="0009473C">
        <w:rPr>
          <w:rFonts w:asciiTheme="minorHAnsi" w:hAnsiTheme="minorHAnsi" w:cstheme="minorHAnsi"/>
        </w:rPr>
        <w:t xml:space="preserve">Centre for Reviews and Dissemination [CRD]. Systematic reviews: CRD's guidance for undertaking reviews in health care. University of York: CRD; 2009 pp. 10,34-40,45,136  [accessed 10 Mar 2025]. Available from: </w:t>
      </w:r>
      <w:hyperlink r:id="rId17" w:history="1">
        <w:r w:rsidR="009A6E13" w:rsidRPr="009A6E13">
          <w:rPr>
            <w:rStyle w:val="Hyperlink"/>
            <w:rFonts w:asciiTheme="minorHAnsi" w:hAnsiTheme="minorHAnsi" w:cstheme="minorHAnsi"/>
            <w:sz w:val="20"/>
            <w:szCs w:val="20"/>
          </w:rPr>
          <w:t>https://www.york.ac.uk/media/crd/Systematic_Reviews.pdf</w:t>
        </w:r>
      </w:hyperlink>
    </w:p>
    <w:p w14:paraId="56436993" w14:textId="2FEECE38" w:rsidR="009A6E13" w:rsidRDefault="009A6E13" w:rsidP="003F4E11">
      <w:pPr>
        <w:rPr>
          <w:rFonts w:asciiTheme="minorHAnsi" w:hAnsiTheme="minorHAnsi" w:cstheme="minorHAnsi"/>
        </w:rPr>
      </w:pPr>
      <w:r>
        <w:rPr>
          <w:rFonts w:asciiTheme="minorHAnsi" w:hAnsiTheme="minorHAnsi" w:cstheme="minorHAnsi"/>
        </w:rPr>
        <w:t xml:space="preserve">14. </w:t>
      </w:r>
      <w:r w:rsidR="003460DA" w:rsidRPr="003460DA">
        <w:rPr>
          <w:rFonts w:asciiTheme="minorHAnsi" w:hAnsiTheme="minorHAnsi" w:cstheme="minorHAnsi"/>
        </w:rPr>
        <w:t xml:space="preserve">ClinicalTrials.gov. About ClinicalTrials.gov. 2024 [accessed 10 Mar 2025]. Available from: </w:t>
      </w:r>
      <w:hyperlink r:id="rId18" w:history="1">
        <w:r w:rsidR="003460DA" w:rsidRPr="00425E1A">
          <w:rPr>
            <w:rStyle w:val="Hyperlink"/>
            <w:rFonts w:asciiTheme="minorHAnsi" w:hAnsiTheme="minorHAnsi" w:cstheme="minorHAnsi"/>
            <w:sz w:val="20"/>
            <w:szCs w:val="20"/>
          </w:rPr>
          <w:t>https://clinicaltrials.gov/about-site/about-ctg</w:t>
        </w:r>
      </w:hyperlink>
    </w:p>
    <w:p w14:paraId="06926753" w14:textId="4F69A3C7" w:rsidR="003460DA" w:rsidRDefault="003460DA" w:rsidP="003F4E11">
      <w:pPr>
        <w:rPr>
          <w:rFonts w:asciiTheme="minorHAnsi" w:hAnsiTheme="minorHAnsi" w:cstheme="minorHAnsi"/>
        </w:rPr>
      </w:pPr>
      <w:r>
        <w:rPr>
          <w:rFonts w:asciiTheme="minorHAnsi" w:hAnsiTheme="minorHAnsi" w:cstheme="minorHAnsi"/>
        </w:rPr>
        <w:lastRenderedPageBreak/>
        <w:t xml:space="preserve">15. </w:t>
      </w:r>
      <w:r w:rsidR="00425E1A" w:rsidRPr="00425E1A">
        <w:rPr>
          <w:rFonts w:asciiTheme="minorHAnsi" w:hAnsiTheme="minorHAnsi" w:cstheme="minorHAnsi"/>
        </w:rPr>
        <w:t xml:space="preserve">Bramer, W.M., </w:t>
      </w:r>
      <w:proofErr w:type="spellStart"/>
      <w:r w:rsidR="00425E1A" w:rsidRPr="00425E1A">
        <w:rPr>
          <w:rFonts w:asciiTheme="minorHAnsi" w:hAnsiTheme="minorHAnsi" w:cstheme="minorHAnsi"/>
        </w:rPr>
        <w:t>Rethlefsen</w:t>
      </w:r>
      <w:proofErr w:type="spellEnd"/>
      <w:r w:rsidR="00425E1A" w:rsidRPr="00425E1A">
        <w:rPr>
          <w:rFonts w:asciiTheme="minorHAnsi" w:hAnsiTheme="minorHAnsi" w:cstheme="minorHAnsi"/>
        </w:rPr>
        <w:t xml:space="preserve">, M.L., Kleijnen, J. and Franco, O.H. Optimal database combinations for literature searches in systematic reviews: a prospective exploratory study. </w:t>
      </w:r>
      <w:proofErr w:type="spellStart"/>
      <w:r w:rsidR="00425E1A" w:rsidRPr="00425E1A">
        <w:rPr>
          <w:rFonts w:asciiTheme="minorHAnsi" w:hAnsiTheme="minorHAnsi" w:cstheme="minorHAnsi"/>
        </w:rPr>
        <w:t>Syst</w:t>
      </w:r>
      <w:proofErr w:type="spellEnd"/>
      <w:r w:rsidR="00425E1A" w:rsidRPr="00425E1A">
        <w:rPr>
          <w:rFonts w:asciiTheme="minorHAnsi" w:hAnsiTheme="minorHAnsi" w:cstheme="minorHAnsi"/>
        </w:rPr>
        <w:t xml:space="preserve"> Rev. 2017; 6(245). </w:t>
      </w:r>
      <w:proofErr w:type="spellStart"/>
      <w:r w:rsidR="00425E1A" w:rsidRPr="00425E1A">
        <w:rPr>
          <w:rFonts w:asciiTheme="minorHAnsi" w:hAnsiTheme="minorHAnsi" w:cstheme="minorHAnsi"/>
        </w:rPr>
        <w:t>doi</w:t>
      </w:r>
      <w:proofErr w:type="spellEnd"/>
      <w:r w:rsidR="00425E1A" w:rsidRPr="00425E1A">
        <w:rPr>
          <w:rFonts w:asciiTheme="minorHAnsi" w:hAnsiTheme="minorHAnsi" w:cstheme="minorHAnsi"/>
        </w:rPr>
        <w:t>: 10.1186/s13643-017-0644-y</w:t>
      </w:r>
    </w:p>
    <w:p w14:paraId="0FCB3DB6" w14:textId="1BC169E9" w:rsidR="00425E1A" w:rsidRPr="00425E1A" w:rsidRDefault="00425E1A" w:rsidP="003F4E11">
      <w:pPr>
        <w:rPr>
          <w:rFonts w:asciiTheme="minorHAnsi" w:hAnsiTheme="minorHAnsi" w:cstheme="minorHAnsi"/>
          <w:sz w:val="20"/>
          <w:szCs w:val="20"/>
        </w:rPr>
      </w:pPr>
      <w:r>
        <w:rPr>
          <w:rFonts w:asciiTheme="minorHAnsi" w:hAnsiTheme="minorHAnsi" w:cstheme="minorHAnsi"/>
        </w:rPr>
        <w:t xml:space="preserve">16. </w:t>
      </w:r>
      <w:r w:rsidRPr="00425E1A">
        <w:rPr>
          <w:rFonts w:asciiTheme="minorHAnsi" w:hAnsiTheme="minorHAnsi" w:cstheme="minorHAnsi"/>
        </w:rPr>
        <w:t xml:space="preserve">Lefebvre, C. et al. Chapter 4: Searching for and selecting studies. In: Higgins, J. P.T., Thomas, J., Chandler, J., Cumpston, M., Li, T., Page, M.J. and Welch, V.A. Cochrane Handbook for Systematic Reviews for Interventions version 6.5. London: Cochrane; 2024. [accessed 10 Mar 2025]. Available from:  </w:t>
      </w:r>
      <w:hyperlink r:id="rId19" w:history="1">
        <w:r w:rsidRPr="00425E1A">
          <w:rPr>
            <w:rStyle w:val="Hyperlink"/>
            <w:rFonts w:asciiTheme="minorHAnsi" w:hAnsiTheme="minorHAnsi" w:cstheme="minorHAnsi"/>
            <w:sz w:val="20"/>
            <w:szCs w:val="20"/>
          </w:rPr>
          <w:t>https://training.cochrane.org/handbook/current/chapter-04</w:t>
        </w:r>
      </w:hyperlink>
    </w:p>
    <w:p w14:paraId="7F21D385" w14:textId="0A7EE402" w:rsidR="00425E1A" w:rsidRDefault="00425E1A" w:rsidP="003F4E11">
      <w:pPr>
        <w:rPr>
          <w:rFonts w:asciiTheme="minorHAnsi" w:hAnsiTheme="minorHAnsi" w:cstheme="minorHAnsi"/>
          <w:sz w:val="20"/>
          <w:szCs w:val="20"/>
        </w:rPr>
      </w:pPr>
      <w:r>
        <w:rPr>
          <w:rFonts w:asciiTheme="minorHAnsi" w:hAnsiTheme="minorHAnsi" w:cstheme="minorHAnsi"/>
        </w:rPr>
        <w:t xml:space="preserve">17. </w:t>
      </w:r>
      <w:r w:rsidR="003810E4" w:rsidRPr="003810E4">
        <w:rPr>
          <w:rFonts w:asciiTheme="minorHAnsi" w:hAnsiTheme="minorHAnsi" w:cstheme="minorHAnsi"/>
        </w:rPr>
        <w:t xml:space="preserve">EBSCO Connect. Searching with Boolean Operators. 2022 [accessed 10 Mar 2025]. Available from: </w:t>
      </w:r>
      <w:hyperlink r:id="rId20" w:history="1">
        <w:r w:rsidR="003810E4" w:rsidRPr="003810E4">
          <w:rPr>
            <w:rStyle w:val="Hyperlink"/>
            <w:rFonts w:asciiTheme="minorHAnsi" w:hAnsiTheme="minorHAnsi" w:cstheme="minorHAnsi"/>
            <w:sz w:val="20"/>
            <w:szCs w:val="20"/>
          </w:rPr>
          <w:t>https://connect.ebsco.com/s/article/Searching-with-Boolean-Operators?language=en_US</w:t>
        </w:r>
      </w:hyperlink>
    </w:p>
    <w:p w14:paraId="51C3D3BF" w14:textId="22E1AA47" w:rsidR="0050609C" w:rsidRPr="0050609C" w:rsidRDefault="003810E4" w:rsidP="003F4E11">
      <w:pPr>
        <w:rPr>
          <w:rFonts w:asciiTheme="minorHAnsi" w:hAnsiTheme="minorHAnsi" w:cstheme="minorHAnsi"/>
          <w:sz w:val="20"/>
          <w:szCs w:val="20"/>
        </w:rPr>
      </w:pPr>
      <w:r w:rsidRPr="003810E4">
        <w:rPr>
          <w:rFonts w:asciiTheme="minorHAnsi" w:hAnsiTheme="minorHAnsi" w:cstheme="minorHAnsi"/>
        </w:rPr>
        <w:t xml:space="preserve">18. </w:t>
      </w:r>
      <w:r w:rsidR="0050609C" w:rsidRPr="0050609C">
        <w:rPr>
          <w:rFonts w:asciiTheme="minorHAnsi" w:hAnsiTheme="minorHAnsi" w:cstheme="minorHAnsi"/>
        </w:rPr>
        <w:t xml:space="preserve">McKenzie, J.E., Brennan, S.E., Ryan, R.E., Thomson, H.J., Johnston, R.V. and Thomas, J. Chapter 3: Defining the criteria for including studies and how they will be grouped for the synthesis. In: Higgins, J. P.T., Thomas, J., Chandler, J., Cumpston, M., Li, T., Page, M.J. and Welch, V.A. Cochrane Handbook for Systematic Reviews for Interventions version 6.5. Cochrane; 2023. [accessed 10 Mar 2025]. Available from: </w:t>
      </w:r>
      <w:hyperlink r:id="rId21" w:history="1">
        <w:r w:rsidR="0050609C" w:rsidRPr="0050609C">
          <w:rPr>
            <w:rStyle w:val="Hyperlink"/>
            <w:rFonts w:asciiTheme="minorHAnsi" w:hAnsiTheme="minorHAnsi" w:cstheme="minorHAnsi"/>
            <w:sz w:val="20"/>
            <w:szCs w:val="20"/>
          </w:rPr>
          <w:t>https://training.cochrane.org/handbook/current/chapter-03</w:t>
        </w:r>
      </w:hyperlink>
    </w:p>
    <w:p w14:paraId="25ED8877" w14:textId="637EB05A" w:rsidR="0050609C" w:rsidRDefault="0050609C" w:rsidP="003F4E11">
      <w:pPr>
        <w:rPr>
          <w:rFonts w:asciiTheme="minorHAnsi" w:hAnsiTheme="minorHAnsi" w:cstheme="minorHAnsi"/>
        </w:rPr>
      </w:pPr>
      <w:r>
        <w:rPr>
          <w:rFonts w:asciiTheme="minorHAnsi" w:hAnsiTheme="minorHAnsi" w:cstheme="minorHAnsi"/>
        </w:rPr>
        <w:t xml:space="preserve">19. </w:t>
      </w:r>
      <w:r w:rsidRPr="0050609C">
        <w:rPr>
          <w:rFonts w:asciiTheme="minorHAnsi" w:hAnsiTheme="minorHAnsi" w:cstheme="minorHAnsi"/>
        </w:rPr>
        <w:t xml:space="preserve">Demirci, E., </w:t>
      </w:r>
      <w:proofErr w:type="spellStart"/>
      <w:r w:rsidRPr="0050609C">
        <w:rPr>
          <w:rFonts w:asciiTheme="minorHAnsi" w:hAnsiTheme="minorHAnsi" w:cstheme="minorHAnsi"/>
        </w:rPr>
        <w:t>Kabasakal</w:t>
      </w:r>
      <w:proofErr w:type="spellEnd"/>
      <w:r w:rsidRPr="0050609C">
        <w:rPr>
          <w:rFonts w:asciiTheme="minorHAnsi" w:hAnsiTheme="minorHAnsi" w:cstheme="minorHAnsi"/>
        </w:rPr>
        <w:t xml:space="preserve">, L., </w:t>
      </w:r>
      <w:proofErr w:type="spellStart"/>
      <w:r w:rsidRPr="0050609C">
        <w:rPr>
          <w:rFonts w:asciiTheme="minorHAnsi" w:hAnsiTheme="minorHAnsi" w:cstheme="minorHAnsi"/>
        </w:rPr>
        <w:t>Toklu</w:t>
      </w:r>
      <w:proofErr w:type="spellEnd"/>
      <w:r w:rsidRPr="0050609C">
        <w:rPr>
          <w:rFonts w:asciiTheme="minorHAnsi" w:hAnsiTheme="minorHAnsi" w:cstheme="minorHAnsi"/>
        </w:rPr>
        <w:t xml:space="preserve">, T., Ocak, M., Şahin, O.E., Alan-Selcuk, N. and Araman, A. 177Lu-DOTATATE therapy in patients with neuroendocrine tumours including high grade (WHO G3) neuroendocrine tumours: response to treatment and long-term survival update. </w:t>
      </w:r>
      <w:proofErr w:type="spellStart"/>
      <w:r w:rsidRPr="0050609C">
        <w:rPr>
          <w:rFonts w:asciiTheme="minorHAnsi" w:hAnsiTheme="minorHAnsi" w:cstheme="minorHAnsi"/>
        </w:rPr>
        <w:t>Nucl</w:t>
      </w:r>
      <w:proofErr w:type="spellEnd"/>
      <w:r w:rsidRPr="0050609C">
        <w:rPr>
          <w:rFonts w:asciiTheme="minorHAnsi" w:hAnsiTheme="minorHAnsi" w:cstheme="minorHAnsi"/>
        </w:rPr>
        <w:t xml:space="preserve"> Med Commun. 2018; 39(8): pp. 789-96. </w:t>
      </w:r>
      <w:proofErr w:type="spellStart"/>
      <w:r w:rsidRPr="0050609C">
        <w:rPr>
          <w:rFonts w:asciiTheme="minorHAnsi" w:hAnsiTheme="minorHAnsi" w:cstheme="minorHAnsi"/>
        </w:rPr>
        <w:t>doi</w:t>
      </w:r>
      <w:proofErr w:type="spellEnd"/>
      <w:r w:rsidRPr="0050609C">
        <w:rPr>
          <w:rFonts w:asciiTheme="minorHAnsi" w:hAnsiTheme="minorHAnsi" w:cstheme="minorHAnsi"/>
        </w:rPr>
        <w:t>: 10.1097/MNM.0000000000000874</w:t>
      </w:r>
    </w:p>
    <w:p w14:paraId="06937DE1" w14:textId="47195BED" w:rsidR="00AC4E32" w:rsidRDefault="00AC4E32" w:rsidP="003F4E11">
      <w:pPr>
        <w:rPr>
          <w:rFonts w:asciiTheme="minorHAnsi" w:hAnsiTheme="minorHAnsi" w:cstheme="minorHAnsi"/>
        </w:rPr>
      </w:pPr>
      <w:r>
        <w:rPr>
          <w:rFonts w:asciiTheme="minorHAnsi" w:hAnsiTheme="minorHAnsi" w:cstheme="minorHAnsi"/>
        </w:rPr>
        <w:t xml:space="preserve">20. </w:t>
      </w:r>
      <w:r w:rsidRPr="00AC4E32">
        <w:rPr>
          <w:rFonts w:asciiTheme="minorHAnsi" w:hAnsiTheme="minorHAnsi" w:cstheme="minorHAnsi"/>
        </w:rPr>
        <w:t xml:space="preserve">Page, M.J., McKenzie, J.E., Bossuyt, P.M., </w:t>
      </w:r>
      <w:proofErr w:type="spellStart"/>
      <w:r w:rsidRPr="00AC4E32">
        <w:rPr>
          <w:rFonts w:asciiTheme="minorHAnsi" w:hAnsiTheme="minorHAnsi" w:cstheme="minorHAnsi"/>
        </w:rPr>
        <w:t>Boutron</w:t>
      </w:r>
      <w:proofErr w:type="spellEnd"/>
      <w:r w:rsidRPr="00AC4E32">
        <w:rPr>
          <w:rFonts w:asciiTheme="minorHAnsi" w:hAnsiTheme="minorHAnsi" w:cstheme="minorHAnsi"/>
        </w:rPr>
        <w:t xml:space="preserve">, I., Hoffmann, T.C., Mulrow, C.D. et al. The PRISMA 2020 statement: an updated guideline for reporting systematic reviews. BMJ. 2021; 372. </w:t>
      </w:r>
      <w:proofErr w:type="spellStart"/>
      <w:r w:rsidRPr="00AC4E32">
        <w:rPr>
          <w:rFonts w:asciiTheme="minorHAnsi" w:hAnsiTheme="minorHAnsi" w:cstheme="minorHAnsi"/>
        </w:rPr>
        <w:t>doi</w:t>
      </w:r>
      <w:proofErr w:type="spellEnd"/>
      <w:r w:rsidRPr="00AC4E32">
        <w:rPr>
          <w:rFonts w:asciiTheme="minorHAnsi" w:hAnsiTheme="minorHAnsi" w:cstheme="minorHAnsi"/>
        </w:rPr>
        <w:t xml:space="preserve">: 10.1136/bmj.n71  </w:t>
      </w:r>
    </w:p>
    <w:p w14:paraId="1F0FAEB4" w14:textId="719217F4" w:rsidR="00AB6C30" w:rsidRPr="00704F03" w:rsidRDefault="00AC4E32" w:rsidP="003F4E11">
      <w:pPr>
        <w:rPr>
          <w:rFonts w:asciiTheme="minorHAnsi" w:hAnsiTheme="minorHAnsi" w:cstheme="minorHAnsi"/>
          <w:sz w:val="20"/>
          <w:szCs w:val="20"/>
        </w:rPr>
      </w:pPr>
      <w:r>
        <w:rPr>
          <w:rFonts w:asciiTheme="minorHAnsi" w:hAnsiTheme="minorHAnsi" w:cstheme="minorHAnsi"/>
        </w:rPr>
        <w:t xml:space="preserve">21. </w:t>
      </w:r>
      <w:r w:rsidR="00704F03" w:rsidRPr="00704F03">
        <w:rPr>
          <w:rFonts w:asciiTheme="minorHAnsi" w:hAnsiTheme="minorHAnsi" w:cstheme="minorHAnsi"/>
        </w:rPr>
        <w:t xml:space="preserve">Critical Appraisal Skills Programme [CASP]. CASP Cohort Study Checklist [online]. 2024 [accessed 5 Mar 2025]. Available from: </w:t>
      </w:r>
      <w:hyperlink r:id="rId22" w:history="1">
        <w:r w:rsidR="00704F03" w:rsidRPr="00704F03">
          <w:rPr>
            <w:rStyle w:val="Hyperlink"/>
            <w:rFonts w:asciiTheme="minorHAnsi" w:hAnsiTheme="minorHAnsi" w:cstheme="minorHAnsi"/>
            <w:sz w:val="20"/>
            <w:szCs w:val="20"/>
          </w:rPr>
          <w:t>https://casp-uk.net/casp-checklists/CASP-checklist-cohort-study-2024.pdf</w:t>
        </w:r>
      </w:hyperlink>
      <w:r w:rsidR="00AB6C30">
        <w:rPr>
          <w:rFonts w:asciiTheme="minorHAnsi" w:hAnsiTheme="minorHAnsi" w:cstheme="minorHAnsi"/>
          <w:sz w:val="20"/>
          <w:szCs w:val="20"/>
        </w:rPr>
        <w:t xml:space="preserve"> </w:t>
      </w:r>
      <w:r w:rsidR="00AB6C30" w:rsidRPr="00AB6C30">
        <w:rPr>
          <w:rFonts w:asciiTheme="minorHAnsi" w:hAnsiTheme="minorHAnsi" w:cstheme="minorHAnsi"/>
        </w:rPr>
        <w:t>CASP Randomised Controlled Trial Checklist [online]. 2024 [accessed 5 Mar 2025]. Available from</w:t>
      </w:r>
      <w:r w:rsidR="00AB6C30" w:rsidRPr="00AB6C30">
        <w:rPr>
          <w:rFonts w:asciiTheme="minorHAnsi" w:hAnsiTheme="minorHAnsi" w:cstheme="minorHAnsi"/>
          <w:sz w:val="20"/>
          <w:szCs w:val="20"/>
        </w:rPr>
        <w:t xml:space="preserve">: </w:t>
      </w:r>
      <w:hyperlink r:id="rId23" w:history="1">
        <w:r w:rsidR="00AB6C30" w:rsidRPr="003334C6">
          <w:rPr>
            <w:rStyle w:val="Hyperlink"/>
            <w:rFonts w:asciiTheme="minorHAnsi" w:hAnsiTheme="minorHAnsi" w:cstheme="minorHAnsi"/>
            <w:sz w:val="20"/>
            <w:szCs w:val="20"/>
          </w:rPr>
          <w:t>https://casp-uk.net/casp-checklists/CASP-checklist-randomised-controlled-trials-RCT-2024.pdf</w:t>
        </w:r>
      </w:hyperlink>
    </w:p>
    <w:p w14:paraId="023F73FA" w14:textId="0DEFAC77" w:rsidR="00704F03" w:rsidRPr="00E66096" w:rsidRDefault="00704F03" w:rsidP="003F4E11">
      <w:pPr>
        <w:rPr>
          <w:rFonts w:asciiTheme="minorHAnsi" w:hAnsiTheme="minorHAnsi" w:cstheme="minorHAnsi"/>
          <w:sz w:val="20"/>
          <w:szCs w:val="20"/>
        </w:rPr>
      </w:pPr>
      <w:r>
        <w:rPr>
          <w:rFonts w:asciiTheme="minorHAnsi" w:hAnsiTheme="minorHAnsi" w:cstheme="minorHAnsi"/>
        </w:rPr>
        <w:t xml:space="preserve">22. </w:t>
      </w:r>
      <w:r w:rsidR="00E66096" w:rsidRPr="00E66096">
        <w:rPr>
          <w:rFonts w:asciiTheme="minorHAnsi" w:hAnsiTheme="minorHAnsi" w:cstheme="minorHAnsi"/>
        </w:rPr>
        <w:t xml:space="preserve">Higgins, J.P.T., Savović, J., Page, M.J., Elbers, R.G. and Sterne, J.A.C. Chapter 8: Assessing risk of bias in a randomized trial. In: Higgins, J. P.T., Thomas, J., Chandler, J., Cumpston, M., Li, T., Page, M.J. and Welch, V.A. Cochrane Handbook for Systematic Reviews for Interventions version 6.5. London: Cochrane; 2019. [accessed 10 Mar 2025]. Available from: </w:t>
      </w:r>
      <w:hyperlink r:id="rId24" w:history="1">
        <w:r w:rsidR="00E66096" w:rsidRPr="00E66096">
          <w:rPr>
            <w:rStyle w:val="Hyperlink"/>
            <w:rFonts w:asciiTheme="minorHAnsi" w:hAnsiTheme="minorHAnsi" w:cstheme="minorHAnsi"/>
            <w:sz w:val="20"/>
            <w:szCs w:val="20"/>
          </w:rPr>
          <w:t>https://training.cochrane.org/handbook/current/chapter-08</w:t>
        </w:r>
      </w:hyperlink>
    </w:p>
    <w:p w14:paraId="1D6949AE" w14:textId="0B5E5205" w:rsidR="00E66096" w:rsidRPr="00E66096" w:rsidRDefault="00E66096" w:rsidP="003F4E11">
      <w:pPr>
        <w:rPr>
          <w:rFonts w:asciiTheme="minorHAnsi" w:hAnsiTheme="minorHAnsi" w:cstheme="minorHAnsi"/>
          <w:sz w:val="20"/>
          <w:szCs w:val="20"/>
        </w:rPr>
      </w:pPr>
      <w:r>
        <w:rPr>
          <w:rFonts w:asciiTheme="minorHAnsi" w:hAnsiTheme="minorHAnsi" w:cstheme="minorHAnsi"/>
        </w:rPr>
        <w:t xml:space="preserve">23. </w:t>
      </w:r>
      <w:r w:rsidRPr="00E66096">
        <w:rPr>
          <w:rFonts w:asciiTheme="minorHAnsi" w:hAnsiTheme="minorHAnsi" w:cstheme="minorHAnsi"/>
        </w:rPr>
        <w:t xml:space="preserve">Sterne, J.A.C., Hernán, M.A., McAleenan, A., Reeves, B.C. and Higgins, J.P.T. Chapter 25: Assessing risk of bias in a non-randomized study. In: Higgins, J. P.T., Thomas, J., Chandler, J., Cumpston, M., Li, T., Page, M.J. and Welch, V.A. Cochrane Handbook for Systematic Reviews for Interventions version 6.5. Cochrane. 2019. [accessed 10 Mar 2025]. Available from: </w:t>
      </w:r>
      <w:hyperlink r:id="rId25" w:history="1">
        <w:r w:rsidRPr="00E66096">
          <w:rPr>
            <w:rStyle w:val="Hyperlink"/>
            <w:rFonts w:asciiTheme="minorHAnsi" w:hAnsiTheme="minorHAnsi" w:cstheme="minorHAnsi"/>
            <w:sz w:val="20"/>
            <w:szCs w:val="20"/>
          </w:rPr>
          <w:t>https://training.cochrane.org/handbook/current/chapter-25</w:t>
        </w:r>
      </w:hyperlink>
    </w:p>
    <w:p w14:paraId="0E2F13F5" w14:textId="624B1E43" w:rsidR="00847865" w:rsidRDefault="00E66096" w:rsidP="003F4E11">
      <w:pPr>
        <w:rPr>
          <w:rFonts w:asciiTheme="minorHAnsi" w:hAnsiTheme="minorHAnsi" w:cstheme="minorHAnsi"/>
        </w:rPr>
      </w:pPr>
      <w:r>
        <w:rPr>
          <w:rFonts w:asciiTheme="minorHAnsi" w:hAnsiTheme="minorHAnsi" w:cstheme="minorHAnsi"/>
        </w:rPr>
        <w:t xml:space="preserve">24. </w:t>
      </w:r>
      <w:proofErr w:type="spellStart"/>
      <w:r w:rsidR="00983F49" w:rsidRPr="00983F49">
        <w:rPr>
          <w:rFonts w:asciiTheme="minorHAnsi" w:hAnsiTheme="minorHAnsi" w:cstheme="minorHAnsi"/>
        </w:rPr>
        <w:t>Alsadik</w:t>
      </w:r>
      <w:proofErr w:type="spellEnd"/>
      <w:r w:rsidR="00983F49" w:rsidRPr="00983F49">
        <w:rPr>
          <w:rFonts w:asciiTheme="minorHAnsi" w:hAnsiTheme="minorHAnsi" w:cstheme="minorHAnsi"/>
        </w:rPr>
        <w:t xml:space="preserve">, S., </w:t>
      </w:r>
      <w:proofErr w:type="spellStart"/>
      <w:r w:rsidR="00983F49" w:rsidRPr="00983F49">
        <w:rPr>
          <w:rFonts w:asciiTheme="minorHAnsi" w:hAnsiTheme="minorHAnsi" w:cstheme="minorHAnsi"/>
        </w:rPr>
        <w:t>Gnanasegaran</w:t>
      </w:r>
      <w:proofErr w:type="spellEnd"/>
      <w:r w:rsidR="00983F49" w:rsidRPr="00983F49">
        <w:rPr>
          <w:rFonts w:asciiTheme="minorHAnsi" w:hAnsiTheme="minorHAnsi" w:cstheme="minorHAnsi"/>
        </w:rPr>
        <w:t xml:space="preserve">, G., Chen, L., Quigley A.M., </w:t>
      </w:r>
      <w:proofErr w:type="spellStart"/>
      <w:r w:rsidR="00983F49" w:rsidRPr="00983F49">
        <w:rPr>
          <w:rFonts w:asciiTheme="minorHAnsi" w:hAnsiTheme="minorHAnsi" w:cstheme="minorHAnsi"/>
        </w:rPr>
        <w:t>Mandair</w:t>
      </w:r>
      <w:proofErr w:type="spellEnd"/>
      <w:r w:rsidR="00983F49" w:rsidRPr="00983F49">
        <w:rPr>
          <w:rFonts w:asciiTheme="minorHAnsi" w:hAnsiTheme="minorHAnsi" w:cstheme="minorHAnsi"/>
        </w:rPr>
        <w:t xml:space="preserve">, D., </w:t>
      </w:r>
      <w:proofErr w:type="spellStart"/>
      <w:r w:rsidR="00983F49" w:rsidRPr="00983F49">
        <w:rPr>
          <w:rFonts w:asciiTheme="minorHAnsi" w:hAnsiTheme="minorHAnsi" w:cstheme="minorHAnsi"/>
        </w:rPr>
        <w:t>Toumpanakis</w:t>
      </w:r>
      <w:proofErr w:type="spellEnd"/>
      <w:r w:rsidR="00983F49" w:rsidRPr="00983F49">
        <w:rPr>
          <w:rFonts w:asciiTheme="minorHAnsi" w:hAnsiTheme="minorHAnsi" w:cstheme="minorHAnsi"/>
        </w:rPr>
        <w:t xml:space="preserve">, C. et al. Single centre retrospective review of outcome of 177 Lu-DOTATATE peptide receptor radionuclide therapy in the treatment of progressive metastatic neuroendocrine tumours: Survival, toxicity, and prognostic factors. J </w:t>
      </w:r>
      <w:proofErr w:type="spellStart"/>
      <w:r w:rsidR="00983F49" w:rsidRPr="00983F49">
        <w:rPr>
          <w:rFonts w:asciiTheme="minorHAnsi" w:hAnsiTheme="minorHAnsi" w:cstheme="minorHAnsi"/>
        </w:rPr>
        <w:t>Neuroendocrinol</w:t>
      </w:r>
      <w:proofErr w:type="spellEnd"/>
      <w:r w:rsidR="00983F49" w:rsidRPr="00983F49">
        <w:rPr>
          <w:rFonts w:asciiTheme="minorHAnsi" w:hAnsiTheme="minorHAnsi" w:cstheme="minorHAnsi"/>
        </w:rPr>
        <w:t xml:space="preserve">. 2022; 34(11). </w:t>
      </w:r>
      <w:proofErr w:type="spellStart"/>
      <w:r w:rsidR="00983F49" w:rsidRPr="00983F49">
        <w:rPr>
          <w:rFonts w:asciiTheme="minorHAnsi" w:hAnsiTheme="minorHAnsi" w:cstheme="minorHAnsi"/>
        </w:rPr>
        <w:t>doi</w:t>
      </w:r>
      <w:proofErr w:type="spellEnd"/>
      <w:r w:rsidR="00983F49" w:rsidRPr="00983F49">
        <w:rPr>
          <w:rFonts w:asciiTheme="minorHAnsi" w:hAnsiTheme="minorHAnsi" w:cstheme="minorHAnsi"/>
        </w:rPr>
        <w:t>: 10.1111/jne.13210</w:t>
      </w:r>
    </w:p>
    <w:p w14:paraId="6164DE71" w14:textId="48B8E371" w:rsidR="00983F49" w:rsidRDefault="00983F49" w:rsidP="003F4E11">
      <w:pPr>
        <w:rPr>
          <w:rFonts w:asciiTheme="minorHAnsi" w:hAnsiTheme="minorHAnsi" w:cstheme="minorHAnsi"/>
        </w:rPr>
      </w:pPr>
      <w:r>
        <w:rPr>
          <w:rFonts w:asciiTheme="minorHAnsi" w:hAnsiTheme="minorHAnsi" w:cstheme="minorHAnsi"/>
        </w:rPr>
        <w:t xml:space="preserve">25. </w:t>
      </w:r>
      <w:r w:rsidRPr="00983F49">
        <w:rPr>
          <w:rFonts w:asciiTheme="minorHAnsi" w:hAnsiTheme="minorHAnsi" w:cstheme="minorHAnsi"/>
        </w:rPr>
        <w:t xml:space="preserve">Ballal, S., Yadav, M.P., Damle, N.A., Sahoo, R.K. and Bal, C. Concomitant 177Lu-DOTATATE and Capecitabine Therapy in Patients With Advanced Neuroendocrine </w:t>
      </w:r>
      <w:proofErr w:type="spellStart"/>
      <w:r w:rsidRPr="00983F49">
        <w:rPr>
          <w:rFonts w:asciiTheme="minorHAnsi" w:hAnsiTheme="minorHAnsi" w:cstheme="minorHAnsi"/>
        </w:rPr>
        <w:t>Tumors</w:t>
      </w:r>
      <w:proofErr w:type="spellEnd"/>
      <w:r w:rsidRPr="00983F49">
        <w:rPr>
          <w:rFonts w:asciiTheme="minorHAnsi" w:hAnsiTheme="minorHAnsi" w:cstheme="minorHAnsi"/>
        </w:rPr>
        <w:t xml:space="preserve">: A Long-term-Outcome, Toxicity, Survival, and Quality-of-Life Study. Clin </w:t>
      </w:r>
      <w:proofErr w:type="spellStart"/>
      <w:r w:rsidRPr="00983F49">
        <w:rPr>
          <w:rFonts w:asciiTheme="minorHAnsi" w:hAnsiTheme="minorHAnsi" w:cstheme="minorHAnsi"/>
        </w:rPr>
        <w:t>Nucl</w:t>
      </w:r>
      <w:proofErr w:type="spellEnd"/>
      <w:r w:rsidRPr="00983F49">
        <w:rPr>
          <w:rFonts w:asciiTheme="minorHAnsi" w:hAnsiTheme="minorHAnsi" w:cstheme="minorHAnsi"/>
        </w:rPr>
        <w:t xml:space="preserve"> Med. 2017; 42(11): e457-e466. </w:t>
      </w:r>
      <w:proofErr w:type="spellStart"/>
      <w:r w:rsidRPr="00983F49">
        <w:rPr>
          <w:rFonts w:asciiTheme="minorHAnsi" w:hAnsiTheme="minorHAnsi" w:cstheme="minorHAnsi"/>
        </w:rPr>
        <w:t>doi</w:t>
      </w:r>
      <w:proofErr w:type="spellEnd"/>
      <w:r w:rsidRPr="00983F49">
        <w:rPr>
          <w:rFonts w:asciiTheme="minorHAnsi" w:hAnsiTheme="minorHAnsi" w:cstheme="minorHAnsi"/>
        </w:rPr>
        <w:t>: 10.1097/ RLU.0000000000001816</w:t>
      </w:r>
    </w:p>
    <w:p w14:paraId="7999A3CD" w14:textId="3D11217D" w:rsidR="00983F49" w:rsidRDefault="00983F49" w:rsidP="003F4E11">
      <w:pPr>
        <w:rPr>
          <w:rFonts w:asciiTheme="minorHAnsi" w:hAnsiTheme="minorHAnsi" w:cstheme="minorHAnsi"/>
          <w:color w:val="000000" w:themeColor="text1"/>
        </w:rPr>
      </w:pPr>
      <w:r>
        <w:rPr>
          <w:rFonts w:asciiTheme="minorHAnsi" w:hAnsiTheme="minorHAnsi" w:cstheme="minorHAnsi"/>
        </w:rPr>
        <w:t xml:space="preserve">26. </w:t>
      </w:r>
      <w:r w:rsidR="00C932D5" w:rsidRPr="00884966">
        <w:rPr>
          <w:rFonts w:asciiTheme="minorHAnsi" w:hAnsiTheme="minorHAnsi" w:cstheme="minorHAnsi"/>
          <w:color w:val="000000" w:themeColor="text1"/>
        </w:rPr>
        <w:t>Brabander, T.</w:t>
      </w:r>
      <w:r w:rsidR="00C932D5">
        <w:rPr>
          <w:rFonts w:asciiTheme="minorHAnsi" w:hAnsiTheme="minorHAnsi" w:cstheme="minorHAnsi"/>
          <w:color w:val="000000" w:themeColor="text1"/>
        </w:rPr>
        <w:t xml:space="preserve">, van der </w:t>
      </w:r>
      <w:proofErr w:type="spellStart"/>
      <w:r w:rsidR="00C932D5">
        <w:rPr>
          <w:rFonts w:asciiTheme="minorHAnsi" w:hAnsiTheme="minorHAnsi" w:cstheme="minorHAnsi"/>
          <w:color w:val="000000" w:themeColor="text1"/>
        </w:rPr>
        <w:t>Zwan</w:t>
      </w:r>
      <w:proofErr w:type="spellEnd"/>
      <w:r w:rsidR="00C932D5">
        <w:rPr>
          <w:rFonts w:asciiTheme="minorHAnsi" w:hAnsiTheme="minorHAnsi" w:cstheme="minorHAnsi"/>
          <w:color w:val="000000" w:themeColor="text1"/>
        </w:rPr>
        <w:t xml:space="preserve">, W,A., Teunissen, J.J.M., Kam, B.L.R., </w:t>
      </w:r>
      <w:proofErr w:type="spellStart"/>
      <w:r w:rsidR="00C932D5">
        <w:rPr>
          <w:rFonts w:asciiTheme="minorHAnsi" w:hAnsiTheme="minorHAnsi" w:cstheme="minorHAnsi"/>
          <w:color w:val="000000" w:themeColor="text1"/>
        </w:rPr>
        <w:t>Feelders</w:t>
      </w:r>
      <w:proofErr w:type="spellEnd"/>
      <w:r w:rsidR="00C932D5">
        <w:rPr>
          <w:rFonts w:asciiTheme="minorHAnsi" w:hAnsiTheme="minorHAnsi" w:cstheme="minorHAnsi"/>
          <w:color w:val="000000" w:themeColor="text1"/>
        </w:rPr>
        <w:t>, R.A., de Herder, W.W.</w:t>
      </w:r>
      <w:r w:rsidR="00C932D5" w:rsidRPr="00884966">
        <w:rPr>
          <w:rFonts w:asciiTheme="minorHAnsi" w:hAnsiTheme="minorHAnsi" w:cstheme="minorHAnsi"/>
          <w:color w:val="000000" w:themeColor="text1"/>
        </w:rPr>
        <w:t xml:space="preserve"> et al. Long-Term Efficacy, Survival, and Safety of [</w:t>
      </w:r>
      <w:r w:rsidR="00C932D5" w:rsidRPr="00884966">
        <w:rPr>
          <w:rFonts w:asciiTheme="minorHAnsi" w:hAnsiTheme="minorHAnsi" w:cstheme="minorHAnsi"/>
          <w:color w:val="000000" w:themeColor="text1"/>
          <w:vertAlign w:val="superscript"/>
        </w:rPr>
        <w:t>177</w:t>
      </w:r>
      <w:r w:rsidR="00C932D5" w:rsidRPr="00884966">
        <w:rPr>
          <w:rFonts w:asciiTheme="minorHAnsi" w:hAnsiTheme="minorHAnsi" w:cstheme="minorHAnsi"/>
          <w:color w:val="000000" w:themeColor="text1"/>
        </w:rPr>
        <w:t>Lu-DOTA</w:t>
      </w:r>
      <w:r w:rsidR="00C932D5" w:rsidRPr="00884966">
        <w:rPr>
          <w:rFonts w:asciiTheme="minorHAnsi" w:hAnsiTheme="minorHAnsi" w:cstheme="minorHAnsi"/>
          <w:color w:val="000000" w:themeColor="text1"/>
          <w:vertAlign w:val="superscript"/>
        </w:rPr>
        <w:t>0</w:t>
      </w:r>
      <w:r w:rsidR="00C932D5" w:rsidRPr="00884966">
        <w:rPr>
          <w:rFonts w:asciiTheme="minorHAnsi" w:hAnsiTheme="minorHAnsi" w:cstheme="minorHAnsi"/>
          <w:color w:val="000000" w:themeColor="text1"/>
        </w:rPr>
        <w:t>,Tyr</w:t>
      </w:r>
      <w:r w:rsidR="00C932D5" w:rsidRPr="00884966">
        <w:rPr>
          <w:rFonts w:asciiTheme="minorHAnsi" w:hAnsiTheme="minorHAnsi" w:cstheme="minorHAnsi"/>
          <w:color w:val="000000" w:themeColor="text1"/>
          <w:vertAlign w:val="superscript"/>
        </w:rPr>
        <w:t>3</w:t>
      </w:r>
      <w:r w:rsidR="00C932D5" w:rsidRPr="00884966">
        <w:rPr>
          <w:rFonts w:asciiTheme="minorHAnsi" w:hAnsiTheme="minorHAnsi" w:cstheme="minorHAnsi"/>
          <w:color w:val="000000" w:themeColor="text1"/>
        </w:rPr>
        <w:t>]</w:t>
      </w:r>
      <w:proofErr w:type="spellStart"/>
      <w:r w:rsidR="00C932D5" w:rsidRPr="00884966">
        <w:rPr>
          <w:rFonts w:asciiTheme="minorHAnsi" w:hAnsiTheme="minorHAnsi" w:cstheme="minorHAnsi"/>
          <w:color w:val="000000" w:themeColor="text1"/>
        </w:rPr>
        <w:t>octreotate</w:t>
      </w:r>
      <w:proofErr w:type="spellEnd"/>
      <w:r w:rsidR="00C932D5" w:rsidRPr="00884966">
        <w:rPr>
          <w:rFonts w:asciiTheme="minorHAnsi" w:hAnsiTheme="minorHAnsi" w:cstheme="minorHAnsi"/>
          <w:color w:val="000000" w:themeColor="text1"/>
        </w:rPr>
        <w:t xml:space="preserve"> </w:t>
      </w:r>
      <w:r w:rsidR="00C932D5" w:rsidRPr="00884966">
        <w:rPr>
          <w:rFonts w:asciiTheme="minorHAnsi" w:hAnsiTheme="minorHAnsi" w:cstheme="minorHAnsi"/>
          <w:color w:val="000000" w:themeColor="text1"/>
        </w:rPr>
        <w:lastRenderedPageBreak/>
        <w:t>in Patients with Gastroenteropancreatic and Bronchial Neuroendocrine Tumors</w:t>
      </w:r>
      <w:r w:rsidR="00C932D5" w:rsidRPr="00884966">
        <w:rPr>
          <w:rFonts w:asciiTheme="minorHAnsi" w:hAnsiTheme="minorHAnsi" w:cstheme="minorHAnsi"/>
          <w:i/>
          <w:iCs/>
          <w:color w:val="000000" w:themeColor="text1"/>
        </w:rPr>
        <w:t xml:space="preserve">. </w:t>
      </w:r>
      <w:r w:rsidR="00C932D5" w:rsidRPr="00A00751">
        <w:rPr>
          <w:rFonts w:asciiTheme="minorHAnsi" w:hAnsiTheme="minorHAnsi" w:cstheme="minorHAnsi"/>
          <w:color w:val="000000" w:themeColor="text1"/>
        </w:rPr>
        <w:t>Clin Cancer Res</w:t>
      </w:r>
      <w:r w:rsidR="00C932D5">
        <w:rPr>
          <w:rFonts w:asciiTheme="minorHAnsi" w:hAnsiTheme="minorHAnsi" w:cstheme="minorHAnsi"/>
          <w:color w:val="000000" w:themeColor="text1"/>
        </w:rPr>
        <w:t>. 2017;</w:t>
      </w:r>
      <w:r w:rsidR="00C932D5" w:rsidRPr="00884966">
        <w:rPr>
          <w:rFonts w:asciiTheme="minorHAnsi" w:hAnsiTheme="minorHAnsi" w:cstheme="minorHAnsi"/>
          <w:color w:val="000000" w:themeColor="text1"/>
        </w:rPr>
        <w:t xml:space="preserve"> 23(16)</w:t>
      </w:r>
      <w:r w:rsidR="00C932D5">
        <w:rPr>
          <w:rFonts w:asciiTheme="minorHAnsi" w:hAnsiTheme="minorHAnsi" w:cstheme="minorHAnsi"/>
          <w:color w:val="000000" w:themeColor="text1"/>
        </w:rPr>
        <w:t>:</w:t>
      </w:r>
      <w:r w:rsidR="00C932D5" w:rsidRPr="00884966">
        <w:rPr>
          <w:rFonts w:asciiTheme="minorHAnsi" w:hAnsiTheme="minorHAnsi" w:cstheme="minorHAnsi"/>
          <w:color w:val="000000" w:themeColor="text1"/>
        </w:rPr>
        <w:t xml:space="preserve"> pp. 4617-4624. </w:t>
      </w:r>
      <w:proofErr w:type="spellStart"/>
      <w:r w:rsidR="00C932D5" w:rsidRPr="00884966">
        <w:rPr>
          <w:rFonts w:asciiTheme="minorHAnsi" w:hAnsiTheme="minorHAnsi" w:cstheme="minorHAnsi"/>
          <w:color w:val="000000" w:themeColor="text1"/>
        </w:rPr>
        <w:t>doi</w:t>
      </w:r>
      <w:proofErr w:type="spellEnd"/>
      <w:r w:rsidR="00C932D5" w:rsidRPr="00884966">
        <w:rPr>
          <w:rFonts w:asciiTheme="minorHAnsi" w:hAnsiTheme="minorHAnsi" w:cstheme="minorHAnsi"/>
          <w:color w:val="000000" w:themeColor="text1"/>
        </w:rPr>
        <w:t>: 10.1158/1078-0432.CCR-16-2743</w:t>
      </w:r>
    </w:p>
    <w:p w14:paraId="755A0662" w14:textId="1AFFCD9B" w:rsidR="00C932D5" w:rsidRDefault="00C932D5" w:rsidP="003F4E11">
      <w:pPr>
        <w:rPr>
          <w:rFonts w:asciiTheme="minorHAnsi" w:hAnsiTheme="minorHAnsi" w:cstheme="minorHAnsi"/>
          <w:color w:val="000000" w:themeColor="text1"/>
        </w:rPr>
      </w:pPr>
      <w:r>
        <w:rPr>
          <w:rFonts w:asciiTheme="minorHAnsi" w:hAnsiTheme="minorHAnsi" w:cstheme="minorHAnsi"/>
          <w:color w:val="000000" w:themeColor="text1"/>
        </w:rPr>
        <w:t xml:space="preserve">27. </w:t>
      </w:r>
      <w:r w:rsidR="00945232" w:rsidRPr="00945232">
        <w:rPr>
          <w:rFonts w:asciiTheme="minorHAnsi" w:hAnsiTheme="minorHAnsi" w:cstheme="minorHAnsi"/>
          <w:color w:val="000000" w:themeColor="text1"/>
        </w:rPr>
        <w:t xml:space="preserve">Demirci, E., </w:t>
      </w:r>
      <w:proofErr w:type="spellStart"/>
      <w:r w:rsidR="00945232" w:rsidRPr="00945232">
        <w:rPr>
          <w:rFonts w:asciiTheme="minorHAnsi" w:hAnsiTheme="minorHAnsi" w:cstheme="minorHAnsi"/>
          <w:color w:val="000000" w:themeColor="text1"/>
        </w:rPr>
        <w:t>Kabasakal</w:t>
      </w:r>
      <w:proofErr w:type="spellEnd"/>
      <w:r w:rsidR="00945232" w:rsidRPr="00945232">
        <w:rPr>
          <w:rFonts w:asciiTheme="minorHAnsi" w:hAnsiTheme="minorHAnsi" w:cstheme="minorHAnsi"/>
          <w:color w:val="000000" w:themeColor="text1"/>
        </w:rPr>
        <w:t xml:space="preserve">, L., </w:t>
      </w:r>
      <w:proofErr w:type="spellStart"/>
      <w:r w:rsidR="00945232" w:rsidRPr="00945232">
        <w:rPr>
          <w:rFonts w:asciiTheme="minorHAnsi" w:hAnsiTheme="minorHAnsi" w:cstheme="minorHAnsi"/>
          <w:color w:val="000000" w:themeColor="text1"/>
        </w:rPr>
        <w:t>Toklu</w:t>
      </w:r>
      <w:proofErr w:type="spellEnd"/>
      <w:r w:rsidR="00945232" w:rsidRPr="00945232">
        <w:rPr>
          <w:rFonts w:asciiTheme="minorHAnsi" w:hAnsiTheme="minorHAnsi" w:cstheme="minorHAnsi"/>
          <w:color w:val="000000" w:themeColor="text1"/>
        </w:rPr>
        <w:t xml:space="preserve">, T., Ocak, M., Şahin, O.E., Alan-Selcuk, N. and Araman, A. 177Lu-DOTATATE therapy in patients with neuroendocrine tumours including high grade (WHO G3) neuroendocrine tumours: response to treatment and long-term survival update. </w:t>
      </w:r>
      <w:proofErr w:type="spellStart"/>
      <w:r w:rsidR="00945232" w:rsidRPr="00945232">
        <w:rPr>
          <w:rFonts w:asciiTheme="minorHAnsi" w:hAnsiTheme="minorHAnsi" w:cstheme="minorHAnsi"/>
          <w:color w:val="000000" w:themeColor="text1"/>
        </w:rPr>
        <w:t>Nucl</w:t>
      </w:r>
      <w:proofErr w:type="spellEnd"/>
      <w:r w:rsidR="00945232" w:rsidRPr="00945232">
        <w:rPr>
          <w:rFonts w:asciiTheme="minorHAnsi" w:hAnsiTheme="minorHAnsi" w:cstheme="minorHAnsi"/>
          <w:color w:val="000000" w:themeColor="text1"/>
        </w:rPr>
        <w:t xml:space="preserve"> Med Commun. 2018; 39(8): pp. 789-96. </w:t>
      </w:r>
      <w:proofErr w:type="spellStart"/>
      <w:r w:rsidR="00945232" w:rsidRPr="00945232">
        <w:rPr>
          <w:rFonts w:asciiTheme="minorHAnsi" w:hAnsiTheme="minorHAnsi" w:cstheme="minorHAnsi"/>
          <w:color w:val="000000" w:themeColor="text1"/>
        </w:rPr>
        <w:t>doi</w:t>
      </w:r>
      <w:proofErr w:type="spellEnd"/>
      <w:r w:rsidR="00945232" w:rsidRPr="00945232">
        <w:rPr>
          <w:rFonts w:asciiTheme="minorHAnsi" w:hAnsiTheme="minorHAnsi" w:cstheme="minorHAnsi"/>
          <w:color w:val="000000" w:themeColor="text1"/>
        </w:rPr>
        <w:t>: 10.1097/MNM.0000000000000874</w:t>
      </w:r>
    </w:p>
    <w:p w14:paraId="72C78C8A" w14:textId="77777777" w:rsidR="00197F43" w:rsidRDefault="00945232" w:rsidP="003F4E11">
      <w:pPr>
        <w:rPr>
          <w:rFonts w:asciiTheme="minorHAnsi" w:hAnsiTheme="minorHAnsi" w:cstheme="minorHAnsi"/>
          <w:color w:val="000000" w:themeColor="text1"/>
        </w:rPr>
      </w:pPr>
      <w:r>
        <w:rPr>
          <w:rFonts w:asciiTheme="minorHAnsi" w:hAnsiTheme="minorHAnsi" w:cstheme="minorHAnsi"/>
          <w:color w:val="000000" w:themeColor="text1"/>
        </w:rPr>
        <w:t xml:space="preserve">28. </w:t>
      </w:r>
      <w:r w:rsidR="00197F43" w:rsidRPr="00197F43">
        <w:rPr>
          <w:rFonts w:asciiTheme="minorHAnsi" w:hAnsiTheme="minorHAnsi" w:cstheme="minorHAnsi"/>
          <w:color w:val="000000" w:themeColor="text1"/>
        </w:rPr>
        <w:t xml:space="preserve">Lin, E., Chen, T., Little, A., Holliday, L., Roach, P., Butler, P. et al. Safety and outcomes of 177Lu-DOTATATE for neuroendocrine tumours: experience in New South Wales, Australia. Intern Med J. 2019; 49(10): pp.1268-77. </w:t>
      </w:r>
      <w:proofErr w:type="spellStart"/>
      <w:r w:rsidR="00197F43" w:rsidRPr="00197F43">
        <w:rPr>
          <w:rFonts w:asciiTheme="minorHAnsi" w:hAnsiTheme="minorHAnsi" w:cstheme="minorHAnsi"/>
          <w:color w:val="000000" w:themeColor="text1"/>
        </w:rPr>
        <w:t>doi</w:t>
      </w:r>
      <w:proofErr w:type="spellEnd"/>
      <w:r w:rsidR="00197F43" w:rsidRPr="00197F43">
        <w:rPr>
          <w:rFonts w:asciiTheme="minorHAnsi" w:hAnsiTheme="minorHAnsi" w:cstheme="minorHAnsi"/>
          <w:color w:val="000000" w:themeColor="text1"/>
        </w:rPr>
        <w:t xml:space="preserve">: 10.1111/imj.14336 </w:t>
      </w:r>
    </w:p>
    <w:p w14:paraId="044DEEE9" w14:textId="3965FDE1" w:rsidR="00945232" w:rsidRDefault="00197F43" w:rsidP="003F4E11">
      <w:pPr>
        <w:rPr>
          <w:rFonts w:asciiTheme="minorHAnsi" w:hAnsiTheme="minorHAnsi" w:cstheme="minorHAnsi"/>
          <w:color w:val="000000" w:themeColor="text1"/>
        </w:rPr>
      </w:pPr>
      <w:r>
        <w:rPr>
          <w:rFonts w:asciiTheme="minorHAnsi" w:hAnsiTheme="minorHAnsi" w:cstheme="minorHAnsi"/>
          <w:color w:val="000000" w:themeColor="text1"/>
        </w:rPr>
        <w:t xml:space="preserve">29. </w:t>
      </w:r>
      <w:r w:rsidRPr="00197F43">
        <w:rPr>
          <w:rFonts w:asciiTheme="minorHAnsi" w:hAnsiTheme="minorHAnsi" w:cstheme="minorHAnsi"/>
          <w:color w:val="000000" w:themeColor="text1"/>
        </w:rPr>
        <w:t xml:space="preserve">Marinello, A., </w:t>
      </w:r>
      <w:proofErr w:type="spellStart"/>
      <w:r w:rsidRPr="00197F43">
        <w:rPr>
          <w:rFonts w:asciiTheme="minorHAnsi" w:hAnsiTheme="minorHAnsi" w:cstheme="minorHAnsi"/>
          <w:color w:val="000000" w:themeColor="text1"/>
        </w:rPr>
        <w:t>Bodei</w:t>
      </w:r>
      <w:proofErr w:type="spellEnd"/>
      <w:r w:rsidRPr="00197F43">
        <w:rPr>
          <w:rFonts w:asciiTheme="minorHAnsi" w:hAnsiTheme="minorHAnsi" w:cstheme="minorHAnsi"/>
          <w:color w:val="000000" w:themeColor="text1"/>
        </w:rPr>
        <w:t xml:space="preserve">, L., Tinelli, C., Baio, S.M., Gilardi, L., Colandrea, M. et al. 2016. Long-term results of PRRT in advanced bronchopulmonary carcinoid. </w:t>
      </w:r>
      <w:proofErr w:type="spellStart"/>
      <w:r w:rsidRPr="00197F43">
        <w:rPr>
          <w:rFonts w:asciiTheme="minorHAnsi" w:hAnsiTheme="minorHAnsi" w:cstheme="minorHAnsi"/>
          <w:color w:val="000000" w:themeColor="text1"/>
        </w:rPr>
        <w:t>Eur</w:t>
      </w:r>
      <w:proofErr w:type="spellEnd"/>
      <w:r w:rsidRPr="00197F43">
        <w:rPr>
          <w:rFonts w:asciiTheme="minorHAnsi" w:hAnsiTheme="minorHAnsi" w:cstheme="minorHAnsi"/>
          <w:color w:val="000000" w:themeColor="text1"/>
        </w:rPr>
        <w:t xml:space="preserve"> J </w:t>
      </w:r>
      <w:proofErr w:type="spellStart"/>
      <w:r w:rsidRPr="00197F43">
        <w:rPr>
          <w:rFonts w:asciiTheme="minorHAnsi" w:hAnsiTheme="minorHAnsi" w:cstheme="minorHAnsi"/>
          <w:color w:val="000000" w:themeColor="text1"/>
        </w:rPr>
        <w:t>Nucl</w:t>
      </w:r>
      <w:proofErr w:type="spellEnd"/>
      <w:r w:rsidRPr="00197F43">
        <w:rPr>
          <w:rFonts w:asciiTheme="minorHAnsi" w:hAnsiTheme="minorHAnsi" w:cstheme="minorHAnsi"/>
          <w:color w:val="000000" w:themeColor="text1"/>
        </w:rPr>
        <w:t xml:space="preserve"> Med Mol Imaging. 2016; 43(3): pp. 441-52. </w:t>
      </w:r>
      <w:proofErr w:type="spellStart"/>
      <w:r w:rsidRPr="00197F43">
        <w:rPr>
          <w:rFonts w:asciiTheme="minorHAnsi" w:hAnsiTheme="minorHAnsi" w:cstheme="minorHAnsi"/>
          <w:color w:val="000000" w:themeColor="text1"/>
        </w:rPr>
        <w:t>doi</w:t>
      </w:r>
      <w:proofErr w:type="spellEnd"/>
      <w:r w:rsidRPr="00197F43">
        <w:rPr>
          <w:rFonts w:asciiTheme="minorHAnsi" w:hAnsiTheme="minorHAnsi" w:cstheme="minorHAnsi"/>
          <w:color w:val="000000" w:themeColor="text1"/>
        </w:rPr>
        <w:t>: 10.1007/s00259-015-3190-7</w:t>
      </w:r>
    </w:p>
    <w:p w14:paraId="02458A67" w14:textId="506BC723" w:rsidR="00197F43" w:rsidRDefault="00197F43" w:rsidP="003F4E11">
      <w:pPr>
        <w:rPr>
          <w:rFonts w:asciiTheme="minorHAnsi" w:hAnsiTheme="minorHAnsi" w:cstheme="minorHAnsi"/>
          <w:color w:val="000000" w:themeColor="text1"/>
        </w:rPr>
      </w:pPr>
      <w:r>
        <w:rPr>
          <w:rFonts w:asciiTheme="minorHAnsi" w:hAnsiTheme="minorHAnsi" w:cstheme="minorHAnsi"/>
          <w:color w:val="000000" w:themeColor="text1"/>
        </w:rPr>
        <w:t xml:space="preserve">30. </w:t>
      </w:r>
      <w:r w:rsidR="00815B9B" w:rsidRPr="00815B9B">
        <w:rPr>
          <w:rFonts w:asciiTheme="minorHAnsi" w:hAnsiTheme="minorHAnsi" w:cstheme="minorHAnsi"/>
          <w:color w:val="000000" w:themeColor="text1"/>
        </w:rPr>
        <w:t xml:space="preserve">Singh, S., Halperin, D., Myrehaug, S., Herrmann, K., Pavel, M., Kunz, P.L. et al. [177Lu]Lu-DOTA-TATE plus long-acting octreotide versus high dose long-acting octreotide for the treatment of newly diagnosed, advanced grade 2-3, well-differentiated, </w:t>
      </w:r>
      <w:proofErr w:type="spellStart"/>
      <w:r w:rsidR="00815B9B" w:rsidRPr="00815B9B">
        <w:rPr>
          <w:rFonts w:asciiTheme="minorHAnsi" w:hAnsiTheme="minorHAnsi" w:cstheme="minorHAnsi"/>
          <w:color w:val="000000" w:themeColor="text1"/>
        </w:rPr>
        <w:t>gastroenteropancreatic</w:t>
      </w:r>
      <w:proofErr w:type="spellEnd"/>
      <w:r w:rsidR="00815B9B" w:rsidRPr="00815B9B">
        <w:rPr>
          <w:rFonts w:asciiTheme="minorHAnsi" w:hAnsiTheme="minorHAnsi" w:cstheme="minorHAnsi"/>
          <w:color w:val="000000" w:themeColor="text1"/>
        </w:rPr>
        <w:t xml:space="preserve"> neuroendocrine tumours (NETTER-2): an open-label, randomised, phase 3 study. Lancet. 2024; 403(10446): pp. 2807-2817. </w:t>
      </w:r>
      <w:proofErr w:type="spellStart"/>
      <w:r w:rsidR="00815B9B" w:rsidRPr="00815B9B">
        <w:rPr>
          <w:rFonts w:asciiTheme="minorHAnsi" w:hAnsiTheme="minorHAnsi" w:cstheme="minorHAnsi"/>
          <w:color w:val="000000" w:themeColor="text1"/>
        </w:rPr>
        <w:t>doi</w:t>
      </w:r>
      <w:proofErr w:type="spellEnd"/>
      <w:r w:rsidR="00815B9B" w:rsidRPr="00815B9B">
        <w:rPr>
          <w:rFonts w:asciiTheme="minorHAnsi" w:hAnsiTheme="minorHAnsi" w:cstheme="minorHAnsi"/>
          <w:color w:val="000000" w:themeColor="text1"/>
        </w:rPr>
        <w:t>: 10.1016/S0140-6736(24)00701-3</w:t>
      </w:r>
    </w:p>
    <w:p w14:paraId="531C2A3C" w14:textId="29927B7E" w:rsidR="00815B9B" w:rsidRPr="0048146F" w:rsidRDefault="00815B9B" w:rsidP="003F4E11">
      <w:pPr>
        <w:rPr>
          <w:rFonts w:asciiTheme="minorHAnsi" w:hAnsiTheme="minorHAnsi" w:cstheme="minorHAnsi"/>
          <w:color w:val="000000" w:themeColor="text1"/>
          <w:sz w:val="20"/>
          <w:szCs w:val="20"/>
        </w:rPr>
      </w:pPr>
      <w:r>
        <w:rPr>
          <w:rFonts w:asciiTheme="minorHAnsi" w:hAnsiTheme="minorHAnsi" w:cstheme="minorHAnsi"/>
          <w:color w:val="000000" w:themeColor="text1"/>
        </w:rPr>
        <w:t xml:space="preserve">31. </w:t>
      </w:r>
      <w:r w:rsidR="0048146F" w:rsidRPr="0048146F">
        <w:rPr>
          <w:rFonts w:asciiTheme="minorHAnsi" w:hAnsiTheme="minorHAnsi" w:cstheme="minorHAnsi"/>
          <w:color w:val="000000" w:themeColor="text1"/>
        </w:rPr>
        <w:t xml:space="preserve">EORTC. RECIST disease assessment is effective for targeted treatment as well as classical chemotherapy. 2019 [accessed 5 Mar 2025]. Available from: </w:t>
      </w:r>
      <w:hyperlink r:id="rId26" w:history="1">
        <w:r w:rsidR="0048146F" w:rsidRPr="0048146F">
          <w:rPr>
            <w:rStyle w:val="Hyperlink"/>
            <w:rFonts w:asciiTheme="minorHAnsi" w:hAnsiTheme="minorHAnsi" w:cstheme="minorHAnsi"/>
            <w:sz w:val="20"/>
            <w:szCs w:val="20"/>
          </w:rPr>
          <w:t>https://www.eortc.org/blog/2019/04/05/recist-disease-assessment-is-effective-for-targeted-treatment-as-well-as-classical-chemotherapy/</w:t>
        </w:r>
      </w:hyperlink>
    </w:p>
    <w:p w14:paraId="51E53F51" w14:textId="2D1015C4" w:rsidR="0048146F" w:rsidRDefault="0048146F" w:rsidP="003F4E11">
      <w:pPr>
        <w:rPr>
          <w:rFonts w:asciiTheme="minorHAnsi" w:hAnsiTheme="minorHAnsi" w:cstheme="minorHAnsi"/>
          <w:color w:val="000000" w:themeColor="text1"/>
        </w:rPr>
      </w:pPr>
      <w:r>
        <w:rPr>
          <w:rFonts w:asciiTheme="minorHAnsi" w:hAnsiTheme="minorHAnsi" w:cstheme="minorHAnsi"/>
          <w:color w:val="000000" w:themeColor="text1"/>
        </w:rPr>
        <w:t xml:space="preserve">32. </w:t>
      </w:r>
      <w:proofErr w:type="spellStart"/>
      <w:r w:rsidRPr="0048146F">
        <w:rPr>
          <w:rFonts w:asciiTheme="minorHAnsi" w:hAnsiTheme="minorHAnsi" w:cstheme="minorHAnsi"/>
          <w:color w:val="000000" w:themeColor="text1"/>
        </w:rPr>
        <w:t>Strosberg</w:t>
      </w:r>
      <w:proofErr w:type="spellEnd"/>
      <w:r w:rsidRPr="0048146F">
        <w:rPr>
          <w:rFonts w:asciiTheme="minorHAnsi" w:hAnsiTheme="minorHAnsi" w:cstheme="minorHAnsi"/>
          <w:color w:val="000000" w:themeColor="text1"/>
        </w:rPr>
        <w:t xml:space="preserve">, J.R., Caplin, M.E., Kunz, P.L., Ruszniewski, P.B., </w:t>
      </w:r>
      <w:proofErr w:type="spellStart"/>
      <w:r w:rsidRPr="0048146F">
        <w:rPr>
          <w:rFonts w:asciiTheme="minorHAnsi" w:hAnsiTheme="minorHAnsi" w:cstheme="minorHAnsi"/>
          <w:color w:val="000000" w:themeColor="text1"/>
        </w:rPr>
        <w:t>Bodei</w:t>
      </w:r>
      <w:proofErr w:type="spellEnd"/>
      <w:r w:rsidRPr="0048146F">
        <w:rPr>
          <w:rFonts w:asciiTheme="minorHAnsi" w:hAnsiTheme="minorHAnsi" w:cstheme="minorHAnsi"/>
          <w:color w:val="000000" w:themeColor="text1"/>
        </w:rPr>
        <w:t xml:space="preserve">, L., </w:t>
      </w:r>
      <w:proofErr w:type="spellStart"/>
      <w:r w:rsidRPr="0048146F">
        <w:rPr>
          <w:rFonts w:asciiTheme="minorHAnsi" w:hAnsiTheme="minorHAnsi" w:cstheme="minorHAnsi"/>
          <w:color w:val="000000" w:themeColor="text1"/>
        </w:rPr>
        <w:t>Hendifar</w:t>
      </w:r>
      <w:proofErr w:type="spellEnd"/>
      <w:r w:rsidRPr="0048146F">
        <w:rPr>
          <w:rFonts w:asciiTheme="minorHAnsi" w:hAnsiTheme="minorHAnsi" w:cstheme="minorHAnsi"/>
          <w:color w:val="000000" w:themeColor="text1"/>
        </w:rPr>
        <w:t xml:space="preserve">, A. et al. 177Lu-Dotatate plus long-acting octreotide versus high dose long-acting octreotide in patients with midgut neuroendocrine tumours (NETTER-1): final overall survival and long-term safety results from an open-label, randomised, controlled, phase 3 trial. Lancet Oncol. 2021; 22(12): pp. 1752-63. </w:t>
      </w:r>
      <w:proofErr w:type="spellStart"/>
      <w:r w:rsidRPr="0048146F">
        <w:rPr>
          <w:rFonts w:asciiTheme="minorHAnsi" w:hAnsiTheme="minorHAnsi" w:cstheme="minorHAnsi"/>
          <w:color w:val="000000" w:themeColor="text1"/>
        </w:rPr>
        <w:t>doi</w:t>
      </w:r>
      <w:proofErr w:type="spellEnd"/>
      <w:r w:rsidRPr="0048146F">
        <w:rPr>
          <w:rFonts w:asciiTheme="minorHAnsi" w:hAnsiTheme="minorHAnsi" w:cstheme="minorHAnsi"/>
          <w:color w:val="000000" w:themeColor="text1"/>
        </w:rPr>
        <w:t>: 10.1016/S1470-2045(21)00572-6</w:t>
      </w:r>
    </w:p>
    <w:p w14:paraId="11D486AF" w14:textId="77777777" w:rsidR="00E13A9F" w:rsidRDefault="0048146F" w:rsidP="003F4E11">
      <w:pPr>
        <w:rPr>
          <w:rFonts w:asciiTheme="minorHAnsi" w:hAnsiTheme="minorHAnsi" w:cstheme="minorHAnsi"/>
          <w:color w:val="000000" w:themeColor="text1"/>
        </w:rPr>
      </w:pPr>
      <w:r>
        <w:rPr>
          <w:rFonts w:asciiTheme="minorHAnsi" w:hAnsiTheme="minorHAnsi" w:cstheme="minorHAnsi"/>
          <w:color w:val="000000" w:themeColor="text1"/>
        </w:rPr>
        <w:t xml:space="preserve">33. </w:t>
      </w:r>
      <w:r w:rsidR="00E13A9F" w:rsidRPr="00E13A9F">
        <w:rPr>
          <w:rFonts w:asciiTheme="minorHAnsi" w:hAnsiTheme="minorHAnsi" w:cstheme="minorHAnsi"/>
          <w:color w:val="000000" w:themeColor="text1"/>
        </w:rPr>
        <w:t xml:space="preserve">Wissinger, C.L. Is there a place for undergraduate and graduate students in the systematic review process? J Med </w:t>
      </w:r>
      <w:proofErr w:type="spellStart"/>
      <w:r w:rsidR="00E13A9F" w:rsidRPr="00E13A9F">
        <w:rPr>
          <w:rFonts w:asciiTheme="minorHAnsi" w:hAnsiTheme="minorHAnsi" w:cstheme="minorHAnsi"/>
          <w:color w:val="000000" w:themeColor="text1"/>
        </w:rPr>
        <w:t>Libr</w:t>
      </w:r>
      <w:proofErr w:type="spellEnd"/>
      <w:r w:rsidR="00E13A9F" w:rsidRPr="00E13A9F">
        <w:rPr>
          <w:rFonts w:asciiTheme="minorHAnsi" w:hAnsiTheme="minorHAnsi" w:cstheme="minorHAnsi"/>
          <w:color w:val="000000" w:themeColor="text1"/>
        </w:rPr>
        <w:t xml:space="preserve"> Assoc. 2018; 106(2): pp. 248-50. </w:t>
      </w:r>
      <w:proofErr w:type="spellStart"/>
      <w:r w:rsidR="00E13A9F" w:rsidRPr="00E13A9F">
        <w:rPr>
          <w:rFonts w:asciiTheme="minorHAnsi" w:hAnsiTheme="minorHAnsi" w:cstheme="minorHAnsi"/>
          <w:color w:val="000000" w:themeColor="text1"/>
        </w:rPr>
        <w:t>doi</w:t>
      </w:r>
      <w:proofErr w:type="spellEnd"/>
      <w:r w:rsidR="00E13A9F" w:rsidRPr="00E13A9F">
        <w:rPr>
          <w:rFonts w:asciiTheme="minorHAnsi" w:hAnsiTheme="minorHAnsi" w:cstheme="minorHAnsi"/>
          <w:color w:val="000000" w:themeColor="text1"/>
        </w:rPr>
        <w:t>: 10.5195/jmla.2018.387</w:t>
      </w:r>
    </w:p>
    <w:p w14:paraId="23AC145F" w14:textId="5CFDB58D" w:rsidR="00016A6E" w:rsidRDefault="00E13A9F" w:rsidP="000472F8">
      <w:pPr>
        <w:spacing w:line="276" w:lineRule="auto"/>
        <w:rPr>
          <w:rFonts w:ascii="Calibri" w:hAnsi="Calibri" w:cs="Calibri"/>
          <w:color w:val="000000" w:themeColor="text1"/>
        </w:rPr>
      </w:pPr>
      <w:r>
        <w:rPr>
          <w:rFonts w:asciiTheme="minorHAnsi" w:hAnsiTheme="minorHAnsi" w:cstheme="minorHAnsi"/>
          <w:color w:val="000000" w:themeColor="text1"/>
        </w:rPr>
        <w:t xml:space="preserve">34. </w:t>
      </w:r>
      <w:r w:rsidRPr="00E13A9F">
        <w:rPr>
          <w:rFonts w:asciiTheme="minorHAnsi" w:hAnsiTheme="minorHAnsi" w:cstheme="minorHAnsi"/>
          <w:color w:val="000000" w:themeColor="text1"/>
        </w:rPr>
        <w:t xml:space="preserve"> </w:t>
      </w:r>
      <w:r w:rsidR="005D4833" w:rsidRPr="00884966">
        <w:rPr>
          <w:rFonts w:ascii="Calibri" w:hAnsi="Calibri" w:cs="Calibri"/>
          <w:color w:val="000000" w:themeColor="text1"/>
        </w:rPr>
        <w:t xml:space="preserve">ClinicalTrials.gov. </w:t>
      </w:r>
      <w:r w:rsidR="005D4833" w:rsidRPr="00911212">
        <w:rPr>
          <w:rFonts w:ascii="Calibri" w:hAnsi="Calibri" w:cs="Calibri"/>
          <w:color w:val="000000" w:themeColor="text1"/>
        </w:rPr>
        <w:t>Search results.</w:t>
      </w:r>
      <w:r w:rsidR="005D4833">
        <w:rPr>
          <w:rFonts w:ascii="Calibri" w:hAnsi="Calibri" w:cs="Calibri"/>
          <w:color w:val="000000" w:themeColor="text1"/>
        </w:rPr>
        <w:t xml:space="preserve"> No date [Accessed 10 Mar 2025].</w:t>
      </w:r>
      <w:r w:rsidR="005D4833" w:rsidRPr="00884966">
        <w:rPr>
          <w:rFonts w:ascii="Calibri" w:hAnsi="Calibri" w:cs="Calibri"/>
          <w:color w:val="000000" w:themeColor="text1"/>
        </w:rPr>
        <w:t xml:space="preserve"> Available</w:t>
      </w:r>
      <w:r w:rsidR="005D4833">
        <w:rPr>
          <w:rFonts w:ascii="Calibri" w:hAnsi="Calibri" w:cs="Calibri"/>
          <w:color w:val="000000" w:themeColor="text1"/>
        </w:rPr>
        <w:t xml:space="preserve"> from</w:t>
      </w:r>
      <w:r w:rsidR="005D4833" w:rsidRPr="00884966">
        <w:rPr>
          <w:rFonts w:ascii="Calibri" w:hAnsi="Calibri" w:cs="Calibri"/>
          <w:color w:val="000000" w:themeColor="text1"/>
        </w:rPr>
        <w:t xml:space="preserve">: </w:t>
      </w:r>
    </w:p>
    <w:p w14:paraId="7CE5BCE3" w14:textId="04F13EC8" w:rsidR="00016A6E" w:rsidRPr="00884966" w:rsidRDefault="00822D0A" w:rsidP="00822D0A">
      <w:pPr>
        <w:pStyle w:val="NormalWeb"/>
        <w:spacing w:before="0" w:beforeAutospacing="0" w:after="0" w:afterAutospacing="0" w:line="276" w:lineRule="auto"/>
        <w:rPr>
          <w:color w:val="000000" w:themeColor="text1"/>
        </w:rPr>
      </w:pPr>
      <w:hyperlink r:id="rId27" w:history="1">
        <w:r w:rsidRPr="00822D0A">
          <w:rPr>
            <w:rStyle w:val="Hyperlink"/>
            <w:rFonts w:ascii="Calibri" w:hAnsi="Calibri" w:cs="Calibri"/>
            <w:sz w:val="20"/>
            <w:szCs w:val="20"/>
          </w:rPr>
          <w:t>https://clinicaltrials.gov/search?cond=Neuroendocrine%20Tumors&amp;intr=Lu-177-DOTATATE&amp;aggFilters=ages:adult,status:act%20rec</w:t>
        </w:r>
      </w:hyperlink>
      <w:r w:rsidR="00016A6E" w:rsidRPr="00822D0A">
        <w:rPr>
          <w:rFonts w:ascii="Calibri" w:hAnsi="Calibri" w:cs="Calibri"/>
          <w:sz w:val="20"/>
          <w:szCs w:val="20"/>
        </w:rPr>
        <w:t xml:space="preserve"> </w:t>
      </w:r>
      <w:r w:rsidR="00016A6E" w:rsidRPr="00822D0A">
        <w:rPr>
          <w:rFonts w:ascii="Calibri" w:hAnsi="Calibri" w:cs="Calibri"/>
          <w:color w:val="000000" w:themeColor="text1"/>
          <w:sz w:val="20"/>
          <w:szCs w:val="20"/>
        </w:rPr>
        <w:t xml:space="preserve"> </w:t>
      </w:r>
    </w:p>
    <w:p w14:paraId="66E57785" w14:textId="77777777" w:rsidR="00016A6E" w:rsidRPr="00884966" w:rsidRDefault="00016A6E" w:rsidP="00016A6E">
      <w:pPr>
        <w:pStyle w:val="NormalWeb"/>
        <w:spacing w:before="0" w:beforeAutospacing="0" w:after="0" w:afterAutospacing="0" w:line="276" w:lineRule="auto"/>
        <w:rPr>
          <w:rFonts w:asciiTheme="minorHAnsi" w:hAnsiTheme="minorHAnsi" w:cstheme="minorHAnsi"/>
          <w:color w:val="000000" w:themeColor="text1"/>
        </w:rPr>
      </w:pPr>
    </w:p>
    <w:p w14:paraId="0C271943" w14:textId="77777777" w:rsidR="00016A6E" w:rsidRPr="00884966" w:rsidRDefault="00016A6E" w:rsidP="00016A6E">
      <w:pPr>
        <w:spacing w:line="276" w:lineRule="auto"/>
        <w:rPr>
          <w:color w:val="000000" w:themeColor="text1"/>
        </w:rPr>
      </w:pPr>
    </w:p>
    <w:p w14:paraId="5300E10D" w14:textId="77777777" w:rsidR="00016A6E" w:rsidRDefault="00016A6E" w:rsidP="00016A6E"/>
    <w:p w14:paraId="5B93B90A" w14:textId="77777777" w:rsidR="004A3962" w:rsidRDefault="004A3962"/>
    <w:sectPr w:rsidR="004A39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0827" w14:textId="77777777" w:rsidR="005167B8" w:rsidRDefault="005167B8">
      <w:r>
        <w:separator/>
      </w:r>
    </w:p>
  </w:endnote>
  <w:endnote w:type="continuationSeparator" w:id="0">
    <w:p w14:paraId="48FAEC21" w14:textId="77777777" w:rsidR="005167B8" w:rsidRDefault="0051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0337669"/>
      <w:docPartObj>
        <w:docPartGallery w:val="Page Numbers (Bottom of Page)"/>
        <w:docPartUnique/>
      </w:docPartObj>
    </w:sdtPr>
    <w:sdtContent>
      <w:p w14:paraId="01324EF2" w14:textId="77777777" w:rsidR="000E004D" w:rsidRDefault="007C02A1" w:rsidP="00770A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0B3F75" w14:textId="77777777" w:rsidR="000E004D" w:rsidRDefault="000E004D" w:rsidP="00770A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8363546"/>
      <w:docPartObj>
        <w:docPartGallery w:val="Page Numbers (Bottom of Page)"/>
        <w:docPartUnique/>
      </w:docPartObj>
    </w:sdtPr>
    <w:sdtContent>
      <w:p w14:paraId="5B4A4039" w14:textId="77777777" w:rsidR="000E004D" w:rsidRDefault="007C02A1" w:rsidP="00770A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A8EBDFE" w14:textId="77777777" w:rsidR="000E004D" w:rsidRDefault="000E004D" w:rsidP="00770A1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4193580"/>
      <w:docPartObj>
        <w:docPartGallery w:val="Page Numbers (Bottom of Page)"/>
        <w:docPartUnique/>
      </w:docPartObj>
    </w:sdtPr>
    <w:sdtContent>
      <w:p w14:paraId="7BECF9ED" w14:textId="77777777" w:rsidR="000E004D" w:rsidRDefault="007C02A1" w:rsidP="00986D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3CEBF6" w14:textId="77777777" w:rsidR="000E004D" w:rsidRDefault="000E004D" w:rsidP="00770A1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2731187"/>
      <w:docPartObj>
        <w:docPartGallery w:val="Page Numbers (Bottom of Page)"/>
        <w:docPartUnique/>
      </w:docPartObj>
    </w:sdtPr>
    <w:sdtContent>
      <w:p w14:paraId="534262AA" w14:textId="77777777" w:rsidR="000E004D" w:rsidRDefault="007C02A1" w:rsidP="00FE0C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4CFE7E7" w14:textId="77777777" w:rsidR="000E004D" w:rsidRDefault="000E004D" w:rsidP="00770A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09CC6" w14:textId="77777777" w:rsidR="005167B8" w:rsidRDefault="005167B8">
      <w:r>
        <w:separator/>
      </w:r>
    </w:p>
  </w:footnote>
  <w:footnote w:type="continuationSeparator" w:id="0">
    <w:p w14:paraId="64CE9B63" w14:textId="77777777" w:rsidR="005167B8" w:rsidRDefault="00516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4265"/>
    <w:multiLevelType w:val="multilevel"/>
    <w:tmpl w:val="D988DC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A5660"/>
    <w:multiLevelType w:val="multilevel"/>
    <w:tmpl w:val="F5CA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835DB"/>
    <w:multiLevelType w:val="multilevel"/>
    <w:tmpl w:val="9D740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92785"/>
    <w:multiLevelType w:val="hybridMultilevel"/>
    <w:tmpl w:val="AEDCD3AE"/>
    <w:lvl w:ilvl="0" w:tplc="AD5E77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75461"/>
    <w:multiLevelType w:val="multilevel"/>
    <w:tmpl w:val="9D3235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B69E2"/>
    <w:multiLevelType w:val="multilevel"/>
    <w:tmpl w:val="81CCC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47EA2"/>
    <w:multiLevelType w:val="multilevel"/>
    <w:tmpl w:val="B0F8B9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2F6BEA"/>
    <w:multiLevelType w:val="multilevel"/>
    <w:tmpl w:val="96060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7B3345"/>
    <w:multiLevelType w:val="multilevel"/>
    <w:tmpl w:val="4FFCDD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D4B3D"/>
    <w:multiLevelType w:val="hybridMultilevel"/>
    <w:tmpl w:val="EFB46EF0"/>
    <w:lvl w:ilvl="0" w:tplc="99A84BEC">
      <w:numFmt w:val="bullet"/>
      <w:lvlText w:val="-"/>
      <w:lvlJc w:val="left"/>
      <w:pPr>
        <w:ind w:left="360" w:hanging="360"/>
      </w:pPr>
      <w:rPr>
        <w:rFonts w:ascii="Calibri" w:eastAsia="Times New Roman" w:hAnsi="Calibri" w:cs="Calibri" w:hint="default"/>
        <w:sz w:val="2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C94BA2"/>
    <w:multiLevelType w:val="hybridMultilevel"/>
    <w:tmpl w:val="25C08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A811B3"/>
    <w:multiLevelType w:val="multilevel"/>
    <w:tmpl w:val="43186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AC332A"/>
    <w:multiLevelType w:val="hybridMultilevel"/>
    <w:tmpl w:val="9AB0D0B2"/>
    <w:lvl w:ilvl="0" w:tplc="9BAC8916">
      <w:start w:val="1"/>
      <w:numFmt w:val="decimal"/>
      <w:lvlText w:val="%1."/>
      <w:lvlJc w:val="left"/>
      <w:pPr>
        <w:ind w:left="1080" w:hanging="720"/>
      </w:pPr>
      <w:rPr>
        <w:rFonts w:asciiTheme="minorHAnsi" w:hAnsiTheme="minorHAnsi" w:cstheme="minorHAns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0B3187"/>
    <w:multiLevelType w:val="multilevel"/>
    <w:tmpl w:val="76003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482E5B"/>
    <w:multiLevelType w:val="hybridMultilevel"/>
    <w:tmpl w:val="F49E00EC"/>
    <w:lvl w:ilvl="0" w:tplc="6BA28E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4B6256"/>
    <w:multiLevelType w:val="multilevel"/>
    <w:tmpl w:val="83A6F9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76564116">
    <w:abstractNumId w:val="7"/>
    <w:lvlOverride w:ilvl="0">
      <w:startOverride w:val="1"/>
    </w:lvlOverride>
  </w:num>
  <w:num w:numId="2" w16cid:durableId="1528443409">
    <w:abstractNumId w:val="1"/>
  </w:num>
  <w:num w:numId="3" w16cid:durableId="1121651990">
    <w:abstractNumId w:val="11"/>
  </w:num>
  <w:num w:numId="4" w16cid:durableId="1134520575">
    <w:abstractNumId w:val="6"/>
  </w:num>
  <w:num w:numId="5" w16cid:durableId="991981764">
    <w:abstractNumId w:val="5"/>
  </w:num>
  <w:num w:numId="6" w16cid:durableId="1589733280">
    <w:abstractNumId w:val="13"/>
  </w:num>
  <w:num w:numId="7" w16cid:durableId="1679691534">
    <w:abstractNumId w:val="2"/>
  </w:num>
  <w:num w:numId="8" w16cid:durableId="789512280">
    <w:abstractNumId w:val="4"/>
  </w:num>
  <w:num w:numId="9" w16cid:durableId="1815370044">
    <w:abstractNumId w:val="8"/>
  </w:num>
  <w:num w:numId="10" w16cid:durableId="106704340">
    <w:abstractNumId w:val="0"/>
  </w:num>
  <w:num w:numId="11" w16cid:durableId="989866797">
    <w:abstractNumId w:val="15"/>
    <w:lvlOverride w:ilvl="0">
      <w:startOverride w:val="1"/>
    </w:lvlOverride>
  </w:num>
  <w:num w:numId="12" w16cid:durableId="704865788">
    <w:abstractNumId w:val="9"/>
  </w:num>
  <w:num w:numId="13" w16cid:durableId="1363240428">
    <w:abstractNumId w:val="3"/>
  </w:num>
  <w:num w:numId="14" w16cid:durableId="347218383">
    <w:abstractNumId w:val="14"/>
  </w:num>
  <w:num w:numId="15" w16cid:durableId="1116951005">
    <w:abstractNumId w:val="12"/>
  </w:num>
  <w:num w:numId="16" w16cid:durableId="13947386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6E"/>
    <w:rsid w:val="00016A6E"/>
    <w:rsid w:val="00025EBC"/>
    <w:rsid w:val="00043E4F"/>
    <w:rsid w:val="000472F8"/>
    <w:rsid w:val="00054E5B"/>
    <w:rsid w:val="00073EBB"/>
    <w:rsid w:val="0009473C"/>
    <w:rsid w:val="00097771"/>
    <w:rsid w:val="000B7121"/>
    <w:rsid w:val="000E004D"/>
    <w:rsid w:val="00120AB8"/>
    <w:rsid w:val="0017277E"/>
    <w:rsid w:val="00180488"/>
    <w:rsid w:val="00185AAC"/>
    <w:rsid w:val="00197E58"/>
    <w:rsid w:val="00197F43"/>
    <w:rsid w:val="001C284C"/>
    <w:rsid w:val="00212676"/>
    <w:rsid w:val="002335CE"/>
    <w:rsid w:val="00277AC2"/>
    <w:rsid w:val="00280A80"/>
    <w:rsid w:val="002870D7"/>
    <w:rsid w:val="002A19F8"/>
    <w:rsid w:val="002D1B9C"/>
    <w:rsid w:val="003460DA"/>
    <w:rsid w:val="003810E4"/>
    <w:rsid w:val="003A7F6A"/>
    <w:rsid w:val="003E758C"/>
    <w:rsid w:val="003F46BE"/>
    <w:rsid w:val="003F4E11"/>
    <w:rsid w:val="00412935"/>
    <w:rsid w:val="00425E1A"/>
    <w:rsid w:val="00436762"/>
    <w:rsid w:val="004441C6"/>
    <w:rsid w:val="0048146F"/>
    <w:rsid w:val="004A3962"/>
    <w:rsid w:val="004B2DFA"/>
    <w:rsid w:val="004B3ACF"/>
    <w:rsid w:val="004E3D50"/>
    <w:rsid w:val="0050609C"/>
    <w:rsid w:val="005167B8"/>
    <w:rsid w:val="005A1797"/>
    <w:rsid w:val="005A5368"/>
    <w:rsid w:val="005B6973"/>
    <w:rsid w:val="005C12DA"/>
    <w:rsid w:val="005D4833"/>
    <w:rsid w:val="005F00E5"/>
    <w:rsid w:val="005F7E9F"/>
    <w:rsid w:val="00680656"/>
    <w:rsid w:val="006C541D"/>
    <w:rsid w:val="006E1D45"/>
    <w:rsid w:val="006F75EC"/>
    <w:rsid w:val="00704F03"/>
    <w:rsid w:val="0073756A"/>
    <w:rsid w:val="007C02A1"/>
    <w:rsid w:val="007D5AE7"/>
    <w:rsid w:val="00815B9B"/>
    <w:rsid w:val="00822D0A"/>
    <w:rsid w:val="00836749"/>
    <w:rsid w:val="00846902"/>
    <w:rsid w:val="00847865"/>
    <w:rsid w:val="00862374"/>
    <w:rsid w:val="00886787"/>
    <w:rsid w:val="008A55E1"/>
    <w:rsid w:val="008C295A"/>
    <w:rsid w:val="008E3BBC"/>
    <w:rsid w:val="00933D61"/>
    <w:rsid w:val="0094442D"/>
    <w:rsid w:val="00945232"/>
    <w:rsid w:val="009463A0"/>
    <w:rsid w:val="00970A52"/>
    <w:rsid w:val="00983F49"/>
    <w:rsid w:val="009A6E13"/>
    <w:rsid w:val="00A23644"/>
    <w:rsid w:val="00A32E34"/>
    <w:rsid w:val="00A35ED1"/>
    <w:rsid w:val="00A47BD9"/>
    <w:rsid w:val="00A677AF"/>
    <w:rsid w:val="00A7768A"/>
    <w:rsid w:val="00AB6C30"/>
    <w:rsid w:val="00AC4E32"/>
    <w:rsid w:val="00AF2968"/>
    <w:rsid w:val="00B239DB"/>
    <w:rsid w:val="00B42EC5"/>
    <w:rsid w:val="00BE0348"/>
    <w:rsid w:val="00BE5074"/>
    <w:rsid w:val="00C43F52"/>
    <w:rsid w:val="00C5391B"/>
    <w:rsid w:val="00C619CF"/>
    <w:rsid w:val="00C71076"/>
    <w:rsid w:val="00C82F86"/>
    <w:rsid w:val="00C932D5"/>
    <w:rsid w:val="00CF0E88"/>
    <w:rsid w:val="00CF3379"/>
    <w:rsid w:val="00CF542C"/>
    <w:rsid w:val="00D763F4"/>
    <w:rsid w:val="00DA17B1"/>
    <w:rsid w:val="00E05696"/>
    <w:rsid w:val="00E05FDE"/>
    <w:rsid w:val="00E13A9F"/>
    <w:rsid w:val="00E422E6"/>
    <w:rsid w:val="00E549BB"/>
    <w:rsid w:val="00E612B1"/>
    <w:rsid w:val="00E66096"/>
    <w:rsid w:val="00EB5652"/>
    <w:rsid w:val="00EC1425"/>
    <w:rsid w:val="00EE5C97"/>
    <w:rsid w:val="00EF3EA1"/>
    <w:rsid w:val="00F0060F"/>
    <w:rsid w:val="00F06FFE"/>
    <w:rsid w:val="00F62B2B"/>
    <w:rsid w:val="00F62FAB"/>
    <w:rsid w:val="00F762A7"/>
    <w:rsid w:val="00F803F0"/>
    <w:rsid w:val="00FF4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1393"/>
  <w15:chartTrackingRefBased/>
  <w15:docId w15:val="{BDEA59E0-3B9C-C744-8937-EE32BB5D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A6E"/>
    <w:rPr>
      <w:rFonts w:ascii="Times New Roman" w:eastAsia="Times New Roman" w:hAnsi="Times New Roman" w:cs="Times New Roman"/>
      <w:kern w:val="0"/>
      <w:lang w:eastAsia="en-GB"/>
      <w14:ligatures w14:val="none"/>
    </w:rPr>
  </w:style>
  <w:style w:type="paragraph" w:styleId="Heading1">
    <w:name w:val="heading 1"/>
    <w:basedOn w:val="Normal"/>
    <w:link w:val="Heading1Char"/>
    <w:uiPriority w:val="9"/>
    <w:qFormat/>
    <w:rsid w:val="00016A6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A6E"/>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unhideWhenUsed/>
    <w:rsid w:val="00016A6E"/>
    <w:pPr>
      <w:spacing w:before="100" w:beforeAutospacing="1" w:after="100" w:afterAutospacing="1"/>
    </w:pPr>
  </w:style>
  <w:style w:type="character" w:styleId="Hyperlink">
    <w:name w:val="Hyperlink"/>
    <w:basedOn w:val="DefaultParagraphFont"/>
    <w:uiPriority w:val="99"/>
    <w:unhideWhenUsed/>
    <w:rsid w:val="00016A6E"/>
    <w:rPr>
      <w:color w:val="0000FF"/>
      <w:u w:val="single"/>
    </w:rPr>
  </w:style>
  <w:style w:type="character" w:styleId="UnresolvedMention">
    <w:name w:val="Unresolved Mention"/>
    <w:basedOn w:val="DefaultParagraphFont"/>
    <w:uiPriority w:val="99"/>
    <w:semiHidden/>
    <w:unhideWhenUsed/>
    <w:rsid w:val="00016A6E"/>
    <w:rPr>
      <w:color w:val="605E5C"/>
      <w:shd w:val="clear" w:color="auto" w:fill="E1DFDD"/>
    </w:rPr>
  </w:style>
  <w:style w:type="table" w:styleId="TableGrid">
    <w:name w:val="Table Grid"/>
    <w:basedOn w:val="TableNormal"/>
    <w:uiPriority w:val="39"/>
    <w:rsid w:val="00016A6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6A6E"/>
    <w:pPr>
      <w:ind w:left="720"/>
      <w:contextualSpacing/>
    </w:pPr>
    <w:rPr>
      <w:rFonts w:asciiTheme="minorHAnsi" w:eastAsiaTheme="minorHAnsi" w:hAnsiTheme="minorHAnsi" w:cstheme="minorBidi"/>
      <w:lang w:eastAsia="en-US"/>
    </w:rPr>
  </w:style>
  <w:style w:type="character" w:styleId="FollowedHyperlink">
    <w:name w:val="FollowedHyperlink"/>
    <w:basedOn w:val="DefaultParagraphFont"/>
    <w:uiPriority w:val="99"/>
    <w:semiHidden/>
    <w:unhideWhenUsed/>
    <w:rsid w:val="00016A6E"/>
    <w:rPr>
      <w:color w:val="954F72" w:themeColor="followedHyperlink"/>
      <w:u w:val="single"/>
    </w:rPr>
  </w:style>
  <w:style w:type="character" w:styleId="CommentReference">
    <w:name w:val="annotation reference"/>
    <w:basedOn w:val="DefaultParagraphFont"/>
    <w:uiPriority w:val="99"/>
    <w:semiHidden/>
    <w:unhideWhenUsed/>
    <w:rsid w:val="00016A6E"/>
    <w:rPr>
      <w:sz w:val="16"/>
      <w:szCs w:val="16"/>
    </w:rPr>
  </w:style>
  <w:style w:type="paragraph" w:styleId="CommentText">
    <w:name w:val="annotation text"/>
    <w:basedOn w:val="Normal"/>
    <w:link w:val="CommentTextChar"/>
    <w:uiPriority w:val="99"/>
    <w:unhideWhenUsed/>
    <w:rsid w:val="00016A6E"/>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016A6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16A6E"/>
    <w:rPr>
      <w:b/>
      <w:bCs/>
    </w:rPr>
  </w:style>
  <w:style w:type="character" w:customStyle="1" w:styleId="CommentSubjectChar">
    <w:name w:val="Comment Subject Char"/>
    <w:basedOn w:val="CommentTextChar"/>
    <w:link w:val="CommentSubject"/>
    <w:uiPriority w:val="99"/>
    <w:semiHidden/>
    <w:rsid w:val="00016A6E"/>
    <w:rPr>
      <w:b/>
      <w:bCs/>
      <w:kern w:val="0"/>
      <w:sz w:val="20"/>
      <w:szCs w:val="20"/>
      <w14:ligatures w14:val="none"/>
    </w:rPr>
  </w:style>
  <w:style w:type="character" w:customStyle="1" w:styleId="markedcontent">
    <w:name w:val="markedcontent"/>
    <w:basedOn w:val="DefaultParagraphFont"/>
    <w:rsid w:val="00016A6E"/>
  </w:style>
  <w:style w:type="character" w:styleId="Strong">
    <w:name w:val="Strong"/>
    <w:basedOn w:val="DefaultParagraphFont"/>
    <w:uiPriority w:val="22"/>
    <w:qFormat/>
    <w:rsid w:val="00016A6E"/>
    <w:rPr>
      <w:b/>
      <w:bCs/>
    </w:rPr>
  </w:style>
  <w:style w:type="paragraph" w:styleId="Footer">
    <w:name w:val="footer"/>
    <w:basedOn w:val="Normal"/>
    <w:link w:val="FooterChar"/>
    <w:uiPriority w:val="99"/>
    <w:unhideWhenUsed/>
    <w:rsid w:val="00016A6E"/>
    <w:pPr>
      <w:tabs>
        <w:tab w:val="center" w:pos="4513"/>
        <w:tab w:val="right" w:pos="9026"/>
      </w:tabs>
    </w:pPr>
  </w:style>
  <w:style w:type="character" w:customStyle="1" w:styleId="FooterChar">
    <w:name w:val="Footer Char"/>
    <w:basedOn w:val="DefaultParagraphFont"/>
    <w:link w:val="Footer"/>
    <w:uiPriority w:val="99"/>
    <w:rsid w:val="00016A6E"/>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016A6E"/>
  </w:style>
  <w:style w:type="paragraph" w:styleId="Header">
    <w:name w:val="header"/>
    <w:basedOn w:val="Normal"/>
    <w:link w:val="HeaderChar"/>
    <w:uiPriority w:val="99"/>
    <w:unhideWhenUsed/>
    <w:rsid w:val="00016A6E"/>
    <w:pPr>
      <w:tabs>
        <w:tab w:val="center" w:pos="4513"/>
        <w:tab w:val="right" w:pos="9026"/>
      </w:tabs>
    </w:pPr>
  </w:style>
  <w:style w:type="character" w:customStyle="1" w:styleId="HeaderChar">
    <w:name w:val="Header Char"/>
    <w:basedOn w:val="DefaultParagraphFont"/>
    <w:link w:val="Header"/>
    <w:uiPriority w:val="99"/>
    <w:rsid w:val="00016A6E"/>
    <w:rPr>
      <w:rFonts w:ascii="Times New Roman" w:eastAsia="Times New Roman" w:hAnsi="Times New Roman" w:cs="Times New Roman"/>
      <w:kern w:val="0"/>
      <w:lang w:eastAsia="en-GB"/>
      <w14:ligatures w14:val="none"/>
    </w:rPr>
  </w:style>
  <w:style w:type="paragraph" w:styleId="FootnoteText">
    <w:name w:val="footnote text"/>
    <w:basedOn w:val="Normal"/>
    <w:link w:val="FootnoteTextChar"/>
    <w:uiPriority w:val="99"/>
    <w:semiHidden/>
    <w:unhideWhenUsed/>
    <w:rsid w:val="00016A6E"/>
    <w:rPr>
      <w:sz w:val="20"/>
      <w:szCs w:val="20"/>
    </w:rPr>
  </w:style>
  <w:style w:type="character" w:customStyle="1" w:styleId="FootnoteTextChar">
    <w:name w:val="Footnote Text Char"/>
    <w:basedOn w:val="DefaultParagraphFont"/>
    <w:link w:val="FootnoteText"/>
    <w:uiPriority w:val="99"/>
    <w:semiHidden/>
    <w:rsid w:val="00016A6E"/>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016A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hyperlink" Target="https://clinicaltrials.gov/about-site/about-ctg" TargetMode="External"/><Relationship Id="rId26" Type="http://schemas.openxmlformats.org/officeDocument/2006/relationships/hyperlink" Target="https://www.eortc.org/blog/2019/04/05/recist-disease-assessment-is-effective-for-targeted-treatment-as-well-as-classical-chemotherapy/" TargetMode="External"/><Relationship Id="rId3" Type="http://schemas.openxmlformats.org/officeDocument/2006/relationships/settings" Target="settings.xml"/><Relationship Id="rId21" Type="http://schemas.openxmlformats.org/officeDocument/2006/relationships/hyperlink" Target="https://training.cochrane.org/handbook/current/chapter-03" TargetMode="Externa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hyperlink" Target="https://www.york.ac.uk/media/crd/Systematic_Reviews.pdf" TargetMode="External"/><Relationship Id="rId25" Type="http://schemas.openxmlformats.org/officeDocument/2006/relationships/hyperlink" Target="https://training.cochrane.org/handbook/current/chapter-25" TargetMode="External"/><Relationship Id="rId2" Type="http://schemas.openxmlformats.org/officeDocument/2006/relationships/styles" Target="styles.xml"/><Relationship Id="rId16" Type="http://schemas.openxmlformats.org/officeDocument/2006/relationships/hyperlink" Target="https://training.cochrane.org/handbook/current/chapter-01" TargetMode="External"/><Relationship Id="rId20" Type="http://schemas.openxmlformats.org/officeDocument/2006/relationships/hyperlink" Target="https://connect.ebsco.com/s/article/Searching-with-Boolean-Operators?language=en_U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training.cochrane.org/handbook/current/chapter-08" TargetMode="External"/><Relationship Id="rId5" Type="http://schemas.openxmlformats.org/officeDocument/2006/relationships/footnotes" Target="footnotes.xml"/><Relationship Id="rId15" Type="http://schemas.openxmlformats.org/officeDocument/2006/relationships/hyperlink" Target="https://www.prisma-statement.org/prisma-2020-flow-diagram" TargetMode="External"/><Relationship Id="rId23" Type="http://schemas.openxmlformats.org/officeDocument/2006/relationships/hyperlink" Target="https://casp-uk.net/casp-checklists/CASP-checklist-randomised-controlled-trials-RCT-2024.pdf"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training.cochrane.org/handbook/current/chapter-0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linicaltrials.gov/study/NCT01578239?cond=Neuroendocrine%20Tumors&amp;intr=Lu-177-DOTATATE&amp;aggFilters=status:com&amp;page=2&amp;rank=11" TargetMode="External"/><Relationship Id="rId22" Type="http://schemas.openxmlformats.org/officeDocument/2006/relationships/hyperlink" Target="https://casp-uk.net/casp-checklists/CASP-checklist-cohort-study-2024.pdf" TargetMode="External"/><Relationship Id="rId27" Type="http://schemas.openxmlformats.org/officeDocument/2006/relationships/hyperlink" Target="https://clinicaltrials.gov/search?cond=Neuroendocrine%20Tumors&amp;intr=Lu-177-DOTATATE&amp;aggFilters=ages:adult,status:act%20rec"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aseline="0">
                <a:solidFill>
                  <a:sysClr val="windowText" lastClr="000000"/>
                </a:solidFill>
              </a:rPr>
              <a:t>Distribution of the varied NET sites across all studies</a:t>
            </a:r>
            <a:endParaRPr lang="en-US" sz="1100">
              <a:solidFill>
                <a:sysClr val="windowText" lastClr="000000"/>
              </a:solidFill>
            </a:endParaRPr>
          </a:p>
        </c:rich>
      </c:tx>
      <c:layout>
        <c:manualLayout>
          <c:xMode val="edge"/>
          <c:yMode val="edge"/>
          <c:x val="0.23148148148148148"/>
          <c:y val="3.9682539682539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Population</c:v>
                </c:pt>
              </c:strCache>
            </c:strRef>
          </c:tx>
          <c:spPr>
            <a:solidFill>
              <a:schemeClr val="accent5"/>
            </a:solidFill>
            <a:ln w="19050">
              <a:solidFill>
                <a:schemeClr val="lt1"/>
              </a:solidFill>
            </a:ln>
            <a:effectLst/>
          </c:spPr>
          <c:invertIfNegative val="0"/>
          <c:cat>
            <c:strRef>
              <c:f>Sheet1!$A$2:$A$12</c:f>
              <c:strCache>
                <c:ptCount val="11"/>
                <c:pt idx="0">
                  <c:v>Bronchial </c:v>
                </c:pt>
                <c:pt idx="1">
                  <c:v>Foregut</c:v>
                </c:pt>
                <c:pt idx="2">
                  <c:v>GEP</c:v>
                </c:pt>
                <c:pt idx="3">
                  <c:v>Hindgut</c:v>
                </c:pt>
                <c:pt idx="4">
                  <c:v>Lung</c:v>
                </c:pt>
                <c:pt idx="5">
                  <c:v>Midgut</c:v>
                </c:pt>
                <c:pt idx="6">
                  <c:v>Other</c:v>
                </c:pt>
                <c:pt idx="7">
                  <c:v>Pancreatic </c:v>
                </c:pt>
                <c:pt idx="8">
                  <c:v>Paraganglioma</c:v>
                </c:pt>
                <c:pt idx="9">
                  <c:v>Small Intestine</c:v>
                </c:pt>
                <c:pt idx="10">
                  <c:v>Unknown </c:v>
                </c:pt>
              </c:strCache>
            </c:strRef>
          </c:cat>
          <c:val>
            <c:numRef>
              <c:f>Sheet1!$B$2:$B$12</c:f>
              <c:numCache>
                <c:formatCode>0%</c:formatCode>
                <c:ptCount val="11"/>
                <c:pt idx="0">
                  <c:v>7.6071256620125177E-2</c:v>
                </c:pt>
                <c:pt idx="1">
                  <c:v>2.0221473278767454E-2</c:v>
                </c:pt>
                <c:pt idx="2">
                  <c:v>0.14588348579682234</c:v>
                </c:pt>
                <c:pt idx="3">
                  <c:v>1.8295618680789601E-2</c:v>
                </c:pt>
                <c:pt idx="4">
                  <c:v>1.3962445835339432E-2</c:v>
                </c:pt>
                <c:pt idx="5">
                  <c:v>0.32498796340876263</c:v>
                </c:pt>
                <c:pt idx="6">
                  <c:v>4.6701974000962924E-2</c:v>
                </c:pt>
                <c:pt idx="7">
                  <c:v>0.20221473278767452</c:v>
                </c:pt>
                <c:pt idx="8">
                  <c:v>2.0702936928261917E-2</c:v>
                </c:pt>
                <c:pt idx="9">
                  <c:v>5.007221954742417E-2</c:v>
                </c:pt>
                <c:pt idx="10">
                  <c:v>7.751564756860857E-2</c:v>
                </c:pt>
              </c:numCache>
            </c:numRef>
          </c:val>
          <c:extLst>
            <c:ext xmlns:c16="http://schemas.microsoft.com/office/drawing/2014/chart" uri="{C3380CC4-5D6E-409C-BE32-E72D297353CC}">
              <c16:uniqueId val="{00000000-E1B7-004F-8437-546FED1DBBA1}"/>
            </c:ext>
          </c:extLst>
        </c:ser>
        <c:dLbls>
          <c:showLegendKey val="0"/>
          <c:showVal val="0"/>
          <c:showCatName val="0"/>
          <c:showSerName val="0"/>
          <c:showPercent val="0"/>
          <c:showBubbleSize val="0"/>
        </c:dLbls>
        <c:gapWidth val="150"/>
        <c:axId val="2128006768"/>
        <c:axId val="2120314912"/>
      </c:barChart>
      <c:catAx>
        <c:axId val="21280067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sz="1100">
                    <a:solidFill>
                      <a:sysClr val="windowText" lastClr="000000"/>
                    </a:solidFill>
                  </a:rPr>
                  <a:t>NET</a:t>
                </a:r>
                <a:r>
                  <a:rPr lang="en-GB" sz="1100" baseline="0">
                    <a:solidFill>
                      <a:sysClr val="windowText" lastClr="000000"/>
                    </a:solidFill>
                  </a:rPr>
                  <a:t> subtypes</a:t>
                </a:r>
                <a:endParaRPr lang="en-GB" sz="1100">
                  <a:solidFill>
                    <a:sysClr val="windowText" lastClr="000000"/>
                  </a:solidFill>
                </a:endParaRPr>
              </a:p>
            </c:rich>
          </c:tx>
          <c:layout>
            <c:manualLayout>
              <c:xMode val="edge"/>
              <c:yMode val="edge"/>
              <c:x val="0.42789260717410321"/>
              <c:y val="0.888075240594925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GB"/>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0314912"/>
        <c:crosses val="autoZero"/>
        <c:auto val="1"/>
        <c:lblAlgn val="ctr"/>
        <c:lblOffset val="100"/>
        <c:noMultiLvlLbl val="0"/>
      </c:catAx>
      <c:valAx>
        <c:axId val="2120314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GB" sz="1100">
                    <a:solidFill>
                      <a:sysClr val="windowText" lastClr="000000"/>
                    </a:solidFill>
                  </a:rPr>
                  <a:t>Proportion</a:t>
                </a:r>
                <a:r>
                  <a:rPr lang="en-GB" sz="1100" baseline="0">
                    <a:solidFill>
                      <a:sysClr val="windowText" lastClr="000000"/>
                    </a:solidFill>
                  </a:rPr>
                  <a:t> of each subtype (%)</a:t>
                </a:r>
                <a:endParaRPr lang="en-GB" sz="1100">
                  <a:solidFill>
                    <a:sysClr val="windowText" lastClr="000000"/>
                  </a:solidFill>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GB"/>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80067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5498</Words>
  <Characters>33514</Characters>
  <Application>Microsoft Office Word</Application>
  <DocSecurity>0</DocSecurity>
  <Lines>1232</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Thompson</dc:creator>
  <cp:keywords/>
  <dc:description/>
  <cp:lastModifiedBy>Nicholas Courtier</cp:lastModifiedBy>
  <cp:revision>3</cp:revision>
  <dcterms:created xsi:type="dcterms:W3CDTF">2025-12-10T16:00:00Z</dcterms:created>
  <dcterms:modified xsi:type="dcterms:W3CDTF">2026-01-05T17:41:00Z</dcterms:modified>
</cp:coreProperties>
</file>