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40606" w14:textId="015EF846" w:rsidR="00EC56A3" w:rsidRDefault="00A07998" w:rsidP="004E7C82">
      <w:pPr>
        <w:pStyle w:val="Heading1"/>
      </w:pPr>
      <w:r>
        <w:t>A</w:t>
      </w:r>
      <w:r w:rsidR="004E7C82" w:rsidRPr="004E7C82">
        <w:t xml:space="preserve">dalimumab </w:t>
      </w:r>
      <w:r w:rsidRPr="004E7C82">
        <w:t>80mg weekly</w:t>
      </w:r>
      <w:r>
        <w:t xml:space="preserve"> dose escalation</w:t>
      </w:r>
      <w:r w:rsidR="00901E24">
        <w:t xml:space="preserve"> </w:t>
      </w:r>
      <w:r w:rsidR="008D23ED">
        <w:t>for</w:t>
      </w:r>
      <w:r w:rsidR="00572D31">
        <w:t xml:space="preserve"> hidradenitis suppurativa</w:t>
      </w:r>
      <w:r w:rsidR="004E7C82" w:rsidRPr="004E7C82">
        <w:t xml:space="preserve">: A multi-centre retrospective cohort study </w:t>
      </w:r>
      <w:r w:rsidR="00572D31">
        <w:t>incorporating therapeutic drug monitoring</w:t>
      </w:r>
    </w:p>
    <w:p w14:paraId="720B0B90" w14:textId="6E92238E" w:rsidR="004E7C82" w:rsidRPr="0053299C" w:rsidRDefault="004E7C82" w:rsidP="004E7C82">
      <w:pPr>
        <w:rPr>
          <w:vertAlign w:val="superscript"/>
        </w:rPr>
      </w:pPr>
      <w:r w:rsidRPr="004E7C82">
        <w:t>Hannah E Wainman</w:t>
      </w:r>
      <w:r w:rsidR="00B234E1">
        <w:rPr>
          <w:vertAlign w:val="superscript"/>
        </w:rPr>
        <w:t>1,2</w:t>
      </w:r>
      <w:r w:rsidRPr="004E7C82">
        <w:t>, Serling Chua, D</w:t>
      </w:r>
      <w:r>
        <w:t xml:space="preserve">onal O’Kane, </w:t>
      </w:r>
      <w:r w:rsidRPr="004E7C82">
        <w:t>Sarah Mehrtens</w:t>
      </w:r>
      <w:r>
        <w:t xml:space="preserve">, </w:t>
      </w:r>
      <w:r w:rsidRPr="004E7C82">
        <w:t>John R Ingram</w:t>
      </w:r>
      <w:r w:rsidR="0053299C">
        <w:rPr>
          <w:vertAlign w:val="superscript"/>
        </w:rPr>
        <w:t>3</w:t>
      </w:r>
    </w:p>
    <w:p w14:paraId="02574317" w14:textId="77777777" w:rsidR="00ED6B1A" w:rsidRPr="003751C0" w:rsidRDefault="00ED6B1A" w:rsidP="00ED6B1A">
      <w:pPr>
        <w:pStyle w:val="ListParagraph"/>
        <w:numPr>
          <w:ilvl w:val="0"/>
          <w:numId w:val="1"/>
        </w:numPr>
        <w:spacing w:after="200" w:line="240" w:lineRule="auto"/>
        <w:rPr>
          <w:rFonts w:cs="Calibri Light"/>
          <w:sz w:val="22"/>
          <w:szCs w:val="22"/>
        </w:rPr>
      </w:pPr>
      <w:r w:rsidRPr="003751C0">
        <w:rPr>
          <w:rFonts w:cs="Calibri Light"/>
          <w:sz w:val="22"/>
          <w:szCs w:val="22"/>
        </w:rPr>
        <w:t>Centre for Applied Excellence in Skin &amp; Allergy Research, University of Bristol, Bristol, UK</w:t>
      </w:r>
    </w:p>
    <w:p w14:paraId="68B56A66" w14:textId="77777777" w:rsidR="00ED6B1A" w:rsidRDefault="00ED6B1A" w:rsidP="00ED6B1A">
      <w:pPr>
        <w:pStyle w:val="ListParagraph"/>
        <w:numPr>
          <w:ilvl w:val="0"/>
          <w:numId w:val="1"/>
        </w:numPr>
        <w:spacing w:after="200" w:line="240" w:lineRule="auto"/>
        <w:rPr>
          <w:rFonts w:cs="Calibri Light"/>
          <w:sz w:val="22"/>
          <w:szCs w:val="22"/>
        </w:rPr>
      </w:pPr>
      <w:r w:rsidRPr="003751C0">
        <w:rPr>
          <w:rFonts w:cs="Calibri Light"/>
          <w:sz w:val="22"/>
          <w:szCs w:val="22"/>
        </w:rPr>
        <w:t xml:space="preserve">Bristol Dermatology Centre, Bristol Royal Infirmary, University Hospitals Bristol and Weston NHS Foundation Trust, </w:t>
      </w:r>
      <w:r w:rsidRPr="003751C0">
        <w:rPr>
          <w:rFonts w:cs="Calibri Light"/>
          <w:color w:val="202124"/>
          <w:sz w:val="22"/>
          <w:szCs w:val="22"/>
          <w:shd w:val="clear" w:color="auto" w:fill="FFFFFF"/>
        </w:rPr>
        <w:t xml:space="preserve">Bristol, </w:t>
      </w:r>
      <w:r w:rsidRPr="003751C0">
        <w:rPr>
          <w:rFonts w:cs="Calibri Light"/>
          <w:sz w:val="22"/>
          <w:szCs w:val="22"/>
        </w:rPr>
        <w:t xml:space="preserve">UK </w:t>
      </w:r>
    </w:p>
    <w:p w14:paraId="6F7D23B1" w14:textId="77777777" w:rsidR="0053299C" w:rsidRPr="003751C0" w:rsidRDefault="0053299C" w:rsidP="0053299C">
      <w:pPr>
        <w:pStyle w:val="ListParagraph"/>
        <w:numPr>
          <w:ilvl w:val="0"/>
          <w:numId w:val="1"/>
        </w:numPr>
        <w:spacing w:after="200" w:line="240" w:lineRule="auto"/>
        <w:rPr>
          <w:rFonts w:cs="Calibri Light"/>
          <w:sz w:val="22"/>
          <w:szCs w:val="22"/>
        </w:rPr>
      </w:pPr>
      <w:r w:rsidRPr="003751C0">
        <w:rPr>
          <w:rFonts w:cs="Calibri Light"/>
          <w:sz w:val="22"/>
          <w:szCs w:val="22"/>
        </w:rPr>
        <w:t xml:space="preserve">Division of Infection &amp; Immunity, Cardiff University, Cardiff, UK </w:t>
      </w:r>
    </w:p>
    <w:p w14:paraId="3A71F11B" w14:textId="77777777" w:rsidR="007D441F" w:rsidRPr="007D441F" w:rsidRDefault="007D441F" w:rsidP="007D441F">
      <w:pPr>
        <w:spacing w:after="0" w:line="240" w:lineRule="auto"/>
        <w:rPr>
          <w:rFonts w:cs="Calibri Light"/>
          <w:b/>
          <w:bCs/>
          <w:sz w:val="22"/>
          <w:szCs w:val="22"/>
        </w:rPr>
      </w:pPr>
      <w:r w:rsidRPr="007D441F">
        <w:rPr>
          <w:rFonts w:cs="Calibri Light"/>
          <w:b/>
          <w:bCs/>
          <w:sz w:val="22"/>
          <w:szCs w:val="22"/>
        </w:rPr>
        <w:t>ORCiD</w:t>
      </w:r>
    </w:p>
    <w:p w14:paraId="403B732C" w14:textId="77777777" w:rsidR="007D441F" w:rsidRPr="007D441F" w:rsidRDefault="007D441F" w:rsidP="007D441F">
      <w:pPr>
        <w:spacing w:after="0" w:line="240" w:lineRule="auto"/>
        <w:rPr>
          <w:rFonts w:cs="Calibri Light"/>
          <w:sz w:val="22"/>
          <w:szCs w:val="22"/>
        </w:rPr>
      </w:pPr>
      <w:r w:rsidRPr="007D441F">
        <w:rPr>
          <w:rFonts w:cs="Calibri Light"/>
          <w:sz w:val="22"/>
          <w:szCs w:val="22"/>
        </w:rPr>
        <w:t xml:space="preserve">HEW: 0000-0003-4521-2907 </w:t>
      </w:r>
    </w:p>
    <w:p w14:paraId="78DE343F" w14:textId="77777777" w:rsidR="00F23538" w:rsidRDefault="00F23538" w:rsidP="00F23538">
      <w:pPr>
        <w:spacing w:after="0" w:line="240" w:lineRule="auto"/>
        <w:rPr>
          <w:rFonts w:eastAsia="Calibri" w:cs="Calibri Light"/>
          <w:sz w:val="22"/>
          <w:szCs w:val="22"/>
        </w:rPr>
      </w:pPr>
      <w:r w:rsidRPr="00F6728E">
        <w:rPr>
          <w:rFonts w:eastAsia="Calibri" w:cs="Calibri Light"/>
          <w:sz w:val="22"/>
          <w:szCs w:val="22"/>
        </w:rPr>
        <w:t>JRI: 0000-0002-5257-1142</w:t>
      </w:r>
    </w:p>
    <w:p w14:paraId="67927BD5" w14:textId="77777777" w:rsidR="00DD65F2" w:rsidRDefault="00DD65F2" w:rsidP="00F23538">
      <w:pPr>
        <w:spacing w:after="0" w:line="240" w:lineRule="auto"/>
        <w:rPr>
          <w:rFonts w:eastAsia="Calibri" w:cs="Calibri Light"/>
          <w:sz w:val="22"/>
          <w:szCs w:val="22"/>
        </w:rPr>
      </w:pPr>
    </w:p>
    <w:p w14:paraId="5FFD2540" w14:textId="71BE3873" w:rsidR="00DD65F2" w:rsidRDefault="00DD65F2" w:rsidP="00F23538">
      <w:pPr>
        <w:spacing w:after="0" w:line="240" w:lineRule="auto"/>
        <w:rPr>
          <w:rFonts w:eastAsia="Calibri" w:cs="Calibri Light"/>
          <w:sz w:val="22"/>
          <w:szCs w:val="22"/>
        </w:rPr>
      </w:pPr>
      <w:r>
        <w:rPr>
          <w:rFonts w:eastAsia="Calibri" w:cs="Calibri Light"/>
          <w:sz w:val="22"/>
          <w:szCs w:val="22"/>
        </w:rPr>
        <w:t>Words:</w:t>
      </w:r>
      <w:r w:rsidR="00464FA5">
        <w:rPr>
          <w:rFonts w:eastAsia="Calibri" w:cs="Calibri Light"/>
          <w:sz w:val="22"/>
          <w:szCs w:val="22"/>
        </w:rPr>
        <w:t>799</w:t>
      </w:r>
      <w:r>
        <w:rPr>
          <w:rFonts w:eastAsia="Calibri" w:cs="Calibri Light"/>
          <w:sz w:val="22"/>
          <w:szCs w:val="22"/>
        </w:rPr>
        <w:t xml:space="preserve"> /800 </w:t>
      </w:r>
    </w:p>
    <w:p w14:paraId="16B0E5B1" w14:textId="3FB97C2F" w:rsidR="00DD65F2" w:rsidRDefault="00DD65F2" w:rsidP="00F23538">
      <w:pPr>
        <w:spacing w:after="0" w:line="240" w:lineRule="auto"/>
        <w:rPr>
          <w:rFonts w:eastAsia="Calibri" w:cs="Calibri Light"/>
          <w:sz w:val="22"/>
          <w:szCs w:val="22"/>
        </w:rPr>
      </w:pPr>
      <w:r>
        <w:rPr>
          <w:rFonts w:eastAsia="Calibri" w:cs="Calibri Light"/>
          <w:sz w:val="22"/>
          <w:szCs w:val="22"/>
        </w:rPr>
        <w:t xml:space="preserve">Figures: </w:t>
      </w:r>
      <w:r w:rsidR="009028B4">
        <w:rPr>
          <w:rFonts w:eastAsia="Calibri" w:cs="Calibri Light"/>
          <w:sz w:val="22"/>
          <w:szCs w:val="22"/>
        </w:rPr>
        <w:t>1</w:t>
      </w:r>
      <w:r>
        <w:rPr>
          <w:rFonts w:eastAsia="Calibri" w:cs="Calibri Light"/>
          <w:sz w:val="22"/>
          <w:szCs w:val="22"/>
        </w:rPr>
        <w:t>/2</w:t>
      </w:r>
    </w:p>
    <w:p w14:paraId="2518ACF4" w14:textId="49DDF602" w:rsidR="00DD65F2" w:rsidRPr="00F6728E" w:rsidRDefault="00DD65F2" w:rsidP="00F23538">
      <w:pPr>
        <w:spacing w:after="0" w:line="240" w:lineRule="auto"/>
        <w:rPr>
          <w:rFonts w:eastAsia="Calibri" w:cs="Calibri Light"/>
          <w:sz w:val="22"/>
          <w:szCs w:val="22"/>
        </w:rPr>
      </w:pPr>
      <w:r>
        <w:rPr>
          <w:rFonts w:eastAsia="Calibri" w:cs="Calibri Light"/>
          <w:sz w:val="22"/>
          <w:szCs w:val="22"/>
        </w:rPr>
        <w:t xml:space="preserve">Tables: </w:t>
      </w:r>
      <w:r w:rsidR="009028B4">
        <w:rPr>
          <w:rFonts w:eastAsia="Calibri" w:cs="Calibri Light"/>
          <w:sz w:val="22"/>
          <w:szCs w:val="22"/>
        </w:rPr>
        <w:t>1</w:t>
      </w:r>
      <w:r>
        <w:rPr>
          <w:rFonts w:eastAsia="Calibri" w:cs="Calibri Light"/>
          <w:sz w:val="22"/>
          <w:szCs w:val="22"/>
        </w:rPr>
        <w:t xml:space="preserve">/2 </w:t>
      </w:r>
    </w:p>
    <w:p w14:paraId="5513BECE" w14:textId="77777777" w:rsidR="00B90E66" w:rsidRDefault="00B90E66" w:rsidP="007D441F"/>
    <w:p w14:paraId="5B5F1131" w14:textId="77777777" w:rsidR="00940332" w:rsidRPr="003751C0" w:rsidRDefault="00940332" w:rsidP="00940332">
      <w:pPr>
        <w:spacing w:after="0" w:line="240" w:lineRule="auto"/>
        <w:rPr>
          <w:rFonts w:cs="Calibri Light"/>
          <w:b/>
          <w:bCs/>
          <w:sz w:val="22"/>
          <w:szCs w:val="22"/>
        </w:rPr>
      </w:pPr>
      <w:r w:rsidRPr="003751C0">
        <w:rPr>
          <w:rFonts w:cs="Calibri Light"/>
          <w:b/>
          <w:bCs/>
          <w:sz w:val="22"/>
          <w:szCs w:val="22"/>
        </w:rPr>
        <w:t xml:space="preserve">Corresponding author: </w:t>
      </w:r>
    </w:p>
    <w:p w14:paraId="69236335" w14:textId="77777777" w:rsidR="00940332" w:rsidRPr="003751C0" w:rsidRDefault="00940332" w:rsidP="00940332">
      <w:pPr>
        <w:spacing w:after="0" w:line="240" w:lineRule="auto"/>
        <w:rPr>
          <w:rFonts w:cs="Calibri Light"/>
          <w:sz w:val="22"/>
          <w:szCs w:val="22"/>
        </w:rPr>
      </w:pPr>
      <w:r w:rsidRPr="003751C0">
        <w:rPr>
          <w:rFonts w:cs="Calibri Light"/>
          <w:sz w:val="22"/>
          <w:szCs w:val="22"/>
        </w:rPr>
        <w:t>Dr Hannah Wainman, Centre for Applied Excellence in Skin &amp; Allergy Research, University of Bristol, 5 Tyndall Avenue, Bristol, UK</w:t>
      </w:r>
    </w:p>
    <w:p w14:paraId="0DA1E35D" w14:textId="77777777" w:rsidR="00940332" w:rsidRDefault="00940332" w:rsidP="00940332">
      <w:pPr>
        <w:spacing w:line="240" w:lineRule="auto"/>
        <w:rPr>
          <w:rFonts w:cs="Calibri Light"/>
          <w:sz w:val="22"/>
          <w:szCs w:val="22"/>
        </w:rPr>
      </w:pPr>
      <w:hyperlink r:id="rId5" w:history="1">
        <w:r w:rsidRPr="003751C0">
          <w:rPr>
            <w:rStyle w:val="Hyperlink"/>
            <w:rFonts w:cs="Calibri Light"/>
            <w:sz w:val="22"/>
            <w:szCs w:val="22"/>
          </w:rPr>
          <w:t>Hannah.wainman@bristol.ac.uk</w:t>
        </w:r>
      </w:hyperlink>
      <w:r w:rsidRPr="003751C0">
        <w:rPr>
          <w:rFonts w:cs="Calibri Light"/>
          <w:sz w:val="22"/>
          <w:szCs w:val="22"/>
        </w:rPr>
        <w:t xml:space="preserve"> </w:t>
      </w:r>
    </w:p>
    <w:p w14:paraId="10B2AE96" w14:textId="3539E025" w:rsidR="00E027C7" w:rsidRDefault="00E027C7" w:rsidP="00940332">
      <w:pPr>
        <w:spacing w:line="240" w:lineRule="auto"/>
        <w:rPr>
          <w:rFonts w:cs="Calibri Light"/>
          <w:sz w:val="22"/>
          <w:szCs w:val="22"/>
        </w:rPr>
      </w:pPr>
      <w:r w:rsidRPr="00DB3BBB">
        <w:rPr>
          <w:rFonts w:cs="Calibri Light"/>
          <w:b/>
          <w:bCs/>
          <w:sz w:val="22"/>
          <w:szCs w:val="22"/>
        </w:rPr>
        <w:t>Funding</w:t>
      </w:r>
      <w:r w:rsidR="00DB3BBB" w:rsidRPr="00DB3BBB">
        <w:rPr>
          <w:rFonts w:cs="Calibri Light"/>
          <w:b/>
          <w:bCs/>
          <w:sz w:val="22"/>
          <w:szCs w:val="22"/>
        </w:rPr>
        <w:t>:</w:t>
      </w:r>
      <w:r w:rsidR="00754AD2">
        <w:rPr>
          <w:rFonts w:cs="Calibri Light"/>
          <w:b/>
          <w:bCs/>
          <w:sz w:val="22"/>
          <w:szCs w:val="22"/>
        </w:rPr>
        <w:t xml:space="preserve"> </w:t>
      </w:r>
      <w:r w:rsidR="00754AD2">
        <w:rPr>
          <w:rFonts w:cs="Calibri Light"/>
          <w:sz w:val="22"/>
          <w:szCs w:val="22"/>
        </w:rPr>
        <w:t xml:space="preserve">Nil </w:t>
      </w:r>
    </w:p>
    <w:p w14:paraId="402E4DFF" w14:textId="0BBD0AF1" w:rsidR="0094386F" w:rsidRPr="0094386F" w:rsidRDefault="0094386F" w:rsidP="00940332">
      <w:pPr>
        <w:spacing w:line="240" w:lineRule="auto"/>
        <w:rPr>
          <w:rFonts w:cs="Calibri Light"/>
          <w:b/>
          <w:bCs/>
          <w:sz w:val="22"/>
          <w:szCs w:val="22"/>
        </w:rPr>
      </w:pPr>
      <w:r>
        <w:rPr>
          <w:rFonts w:cs="Calibri Light"/>
          <w:b/>
          <w:bCs/>
          <w:sz w:val="22"/>
          <w:szCs w:val="22"/>
        </w:rPr>
        <w:t xml:space="preserve">Ethics: </w:t>
      </w:r>
      <w:r w:rsidR="000C20E9" w:rsidRPr="000C20E9">
        <w:rPr>
          <w:rFonts w:cs="Calibri Light"/>
          <w:sz w:val="22"/>
          <w:szCs w:val="22"/>
        </w:rPr>
        <w:t>Not applicable</w:t>
      </w:r>
    </w:p>
    <w:p w14:paraId="62A0AE19" w14:textId="77777777" w:rsidR="00353E1C" w:rsidRPr="007551B4" w:rsidRDefault="00353E1C" w:rsidP="00353E1C">
      <w:pPr>
        <w:spacing w:line="240" w:lineRule="auto"/>
        <w:rPr>
          <w:rFonts w:cs="Calibri Light"/>
          <w:b/>
          <w:bCs/>
          <w:sz w:val="22"/>
          <w:szCs w:val="22"/>
        </w:rPr>
      </w:pPr>
      <w:r w:rsidRPr="007551B4">
        <w:rPr>
          <w:rFonts w:cs="Calibri Light"/>
          <w:b/>
          <w:bCs/>
          <w:sz w:val="22"/>
          <w:szCs w:val="22"/>
        </w:rPr>
        <w:t xml:space="preserve">Data availability: </w:t>
      </w:r>
      <w:r w:rsidRPr="00F21BA2">
        <w:rPr>
          <w:rFonts w:cs="Calibri Light"/>
          <w:sz w:val="22"/>
          <w:szCs w:val="22"/>
        </w:rPr>
        <w:t>The anonymised data underlying this article will be shared on reasonable request to the corresponding author.</w:t>
      </w:r>
    </w:p>
    <w:p w14:paraId="0B1BD5A0" w14:textId="77777777" w:rsidR="00F812EF" w:rsidRPr="003751C0" w:rsidRDefault="00F812EF" w:rsidP="00F812EF">
      <w:pPr>
        <w:spacing w:after="0" w:line="240" w:lineRule="auto"/>
        <w:rPr>
          <w:rFonts w:cs="Calibri Light"/>
          <w:b/>
          <w:bCs/>
          <w:sz w:val="22"/>
          <w:szCs w:val="22"/>
        </w:rPr>
      </w:pPr>
      <w:r w:rsidRPr="003751C0">
        <w:rPr>
          <w:rFonts w:cs="Calibri Light"/>
          <w:b/>
          <w:bCs/>
          <w:sz w:val="22"/>
          <w:szCs w:val="22"/>
        </w:rPr>
        <w:t xml:space="preserve">Conflict of Interest Disclosures: </w:t>
      </w:r>
    </w:p>
    <w:p w14:paraId="3429D138" w14:textId="55E1E8D4" w:rsidR="00F71630" w:rsidRPr="007262D5" w:rsidRDefault="00F812EF" w:rsidP="00F71630">
      <w:pPr>
        <w:spacing w:after="0" w:line="240" w:lineRule="auto"/>
        <w:rPr>
          <w:rFonts w:cs="Calibri Light"/>
          <w:sz w:val="22"/>
          <w:szCs w:val="22"/>
        </w:rPr>
      </w:pPr>
      <w:r w:rsidRPr="007262D5">
        <w:rPr>
          <w:rFonts w:cs="Calibri Light"/>
          <w:sz w:val="22"/>
          <w:szCs w:val="22"/>
        </w:rPr>
        <w:t xml:space="preserve">HW is in receipt of an NIHR doctoral fellowship. She has been on advisory boards for UCB Pharma and received honoraria from Leo, L'Oréal, AbbVie, Dermal, Novartis, UCB Pharma, Incyte, and Eli Lilly. She received course fees and/or travel expenses from UCB Pharma and Novartis. She is a </w:t>
      </w:r>
      <w:r>
        <w:rPr>
          <w:rFonts w:cs="Calibri Light"/>
          <w:sz w:val="22"/>
          <w:szCs w:val="22"/>
        </w:rPr>
        <w:t>consultant</w:t>
      </w:r>
      <w:r w:rsidRPr="007262D5">
        <w:rPr>
          <w:rFonts w:cs="Calibri Light"/>
          <w:sz w:val="22"/>
          <w:szCs w:val="22"/>
        </w:rPr>
        <w:t xml:space="preserve"> for AbbVie, Novartis, Incyte, Johnson and Jonson and Boehringer Ingelheim.</w:t>
      </w:r>
      <w:r>
        <w:rPr>
          <w:rFonts w:cs="Calibri Light"/>
          <w:sz w:val="22"/>
          <w:szCs w:val="22"/>
        </w:rPr>
        <w:t xml:space="preserve"> </w:t>
      </w:r>
      <w:r w:rsidR="00F71630" w:rsidRPr="007262D5">
        <w:rPr>
          <w:rFonts w:eastAsia="Times New Roman" w:cs="Calibri Light"/>
          <w:sz w:val="22"/>
          <w:szCs w:val="22"/>
        </w:rPr>
        <w:t>JRI</w:t>
      </w:r>
      <w:r w:rsidR="00F71630" w:rsidRPr="007262D5">
        <w:rPr>
          <w:rFonts w:cs="Calibri Light"/>
          <w:sz w:val="22"/>
          <w:szCs w:val="22"/>
        </w:rPr>
        <w:t xml:space="preserve"> received a stipend as immediate past Editor-in-Chief of the British Journal of Dermatology and an authorship honorarium from UpToDate. He is a consultant for AbbVie, Boehringer Ingelheim, Cantargia, ChemoCentryx, Citryll, Elasmogen, Engitix, Incyte, Indero, InflaRx, Insmed, Kymera Therapeutics, MoonLake, Novartis, Sun Pharmaceuticals, UCB Pharma, UNION Therapeutics, and Viela Bio. He is co-copyright holder of HiSQOL, HIDE, Investigator Global Assessment and Patient Global Assessment instruments for hidradenitis suppurativa (HS). His department receives income from copyright of the Dermatology Life Quality Instrument (DLQI) and related instruments.</w:t>
      </w:r>
    </w:p>
    <w:p w14:paraId="366BA9D5" w14:textId="434C23EA" w:rsidR="00940332" w:rsidRDefault="00940332" w:rsidP="00F812EF"/>
    <w:p w14:paraId="0B757775" w14:textId="718BBCF3" w:rsidR="004E7C82" w:rsidRDefault="004E7C82">
      <w:r>
        <w:br w:type="page"/>
      </w:r>
    </w:p>
    <w:p w14:paraId="12FE9102" w14:textId="7BBB69FA" w:rsidR="00AA0F16" w:rsidRDefault="00AA0F16" w:rsidP="00D46BFD">
      <w:pPr>
        <w:spacing w:line="360" w:lineRule="auto"/>
      </w:pPr>
      <w:r>
        <w:lastRenderedPageBreak/>
        <w:t xml:space="preserve">Dear Editor, </w:t>
      </w:r>
    </w:p>
    <w:p w14:paraId="3237F71D" w14:textId="7ED9238C" w:rsidR="00530916" w:rsidRDefault="002B7993" w:rsidP="00D46BFD">
      <w:pPr>
        <w:spacing w:line="360" w:lineRule="auto"/>
      </w:pPr>
      <w:r w:rsidRPr="002B7993">
        <w:t xml:space="preserve">Adalimumab is a </w:t>
      </w:r>
      <w:r w:rsidR="005C64E1" w:rsidRPr="002B7993">
        <w:t xml:space="preserve">monoclonal </w:t>
      </w:r>
      <w:r w:rsidR="00505BA4" w:rsidRPr="002B7993">
        <w:t xml:space="preserve">antibody </w:t>
      </w:r>
      <w:r w:rsidR="00505BA4">
        <w:t>targeting</w:t>
      </w:r>
      <w:r w:rsidR="00A81764">
        <w:t xml:space="preserve"> </w:t>
      </w:r>
      <w:r w:rsidRPr="002B7993">
        <w:t xml:space="preserve">tumour necrosis factor-alpha and one of two targeted therapies approved for hidradenitis suppurativa (HS) in </w:t>
      </w:r>
      <w:r w:rsidR="002B089D">
        <w:t>England</w:t>
      </w:r>
      <w:r w:rsidRPr="002B7993">
        <w:t xml:space="preserve">. Two phase 3 studies </w:t>
      </w:r>
      <w:r w:rsidR="00273479">
        <w:t>(PIONEER</w:t>
      </w:r>
      <w:r w:rsidR="00505BA4">
        <w:t xml:space="preserve"> I and II) </w:t>
      </w:r>
      <w:r w:rsidRPr="002B7993">
        <w:t xml:space="preserve">demonstrated </w:t>
      </w:r>
      <w:r w:rsidR="008E0BD1">
        <w:t xml:space="preserve">average </w:t>
      </w:r>
      <w:r w:rsidR="00783724" w:rsidRPr="00783724">
        <w:t>Hidradenitis Suppurativa Clinical Response</w:t>
      </w:r>
      <w:r w:rsidR="00783724">
        <w:t xml:space="preserve"> </w:t>
      </w:r>
      <w:r w:rsidR="00352A4D">
        <w:t xml:space="preserve">(HiSCR) </w:t>
      </w:r>
      <w:r w:rsidR="00783724">
        <w:t>rate</w:t>
      </w:r>
      <w:r w:rsidR="008E0BD1">
        <w:t>s</w:t>
      </w:r>
      <w:r w:rsidRPr="002B7993">
        <w:t xml:space="preserve"> of 50.4%</w:t>
      </w:r>
      <w:r w:rsidR="008E0BD1">
        <w:t xml:space="preserve"> at 12 weeks</w:t>
      </w:r>
      <w:r w:rsidR="00CE5C01">
        <w:fldChar w:fldCharType="begin"/>
      </w:r>
      <w:r w:rsidR="00CE5C01">
        <w:instrText xml:space="preserve"> ADDIN ZOTERO_ITEM CSL_CITATION {"citationID":"Z3MsCSGg","properties":{"formattedCitation":"\\super 1\\nosupersub{}","plainCitation":"1","noteIndex":0},"citationItems":[{"id":232,"uris":["http://zotero.org/users/15596475/items/W8ELGKCA"],"itemData":{"id":232,"type":"article-journal","abstract":"BACKGROUND: Hidradenitis suppurativa is a painful, chronic inflammatory skin disease with few options for effective treatment. In a phase 2 trial, adalimumab, an antibody against tumor necrosis factor α, showed efficacy against hidradenitis suppurativa. METHODS: PIONEER I and II were similarly designed, phase 3 multicenter trials of adalimumab for hidradenitis suppurativa, with two double-blind, placebo-controlled periods. In period 1, patients were randomly assigned in a 1:1 ratio to 40 mg of adalimumab weekly or matching placebo for 12 weeks. In period 2, patients were reassigned to adalimumab at a weekly or every-other-week dose or to placebo for 24 weeks. The primary end point was a clinical response, defined as at least a 50% reduction from baseline in the abscess and inflammatory-nodule count, with no increase in abscess or draining-fistula counts, at week 12. RESULTS: We enrolled 307 patients in PIONEER I and 326 in PIONEER II. Clinical response rates at week 12 were significantly higher for the groups receiving adalimumab weekly than for the placebo groups: 41.8% versus 26.0% in PIONEER I (P=0.003) and 58.9% versus 27.6% in PIONEER II (P&lt;0.001). Patients receiving adalimumab had significantly greater improvement than the placebo groups in rank-ordered secondary outcomes (lesions, pain, and the modified Sartorius score for disease severity) at week 12 in PIONEER II only. Serious adverse events in period 1 (excluding worsening of underlying disease) occurred in 1.3% of patients receiving adalimumab and 1.3% of those receiving placebo in PIONEER I and in 1.8% and 3.7% of patients, respectively, in PIONEER II. In period 2, the rates of serious adverse events were 4.6% or less in all the groups in both studies, with no significant between-group differences. CONCLUSIONS: Treatment with adalimumab (40 mg weekly), as compared with placebo, resulted in significantly higher clinical response rates in both trials at 12 weeks; rates of serious adverse events were similar in the study groups. (Funded by AbbVie; ClinicalTrials.gov numbers, NCT01468207 and NCT01468233 for PIONEER I and PIONEER II, respectively.).","container-title":"N Engl J Med","DOI":"10.1056/NEJMoa1504370","ISSN":"0028-4793","issue":"5","language":"eng","page":"422-34","title":"Two Phase 3 Trials of Adalimumab for Hidradenitis Suppurativa","volume":"375","author":[{"family":"Kimball","given":"A. B."},{"family":"Okun","given":"M. M."},{"family":"Williams","given":"D. A."},{"family":"Gottlieb","given":"A. B."},{"family":"Papp","given":"K. A."},{"family":"Zouboulis","given":"C. C."},{"family":"Armstrong","given":"A. W."},{"family":"Kerdel","given":"F."},{"family":"Gold","given":"M. H."},{"family":"Forman","given":"S. B."},{"family":"Korman","given":"N. J."},{"family":"Giamarellos-Bourboulis","given":"E. J."},{"family":"Crowley","given":"J. J."},{"family":"Lynde","given":"C."},{"family":"Reguiai","given":"Z."},{"family":"Prens","given":"E. P."},{"family":"Alwawi","given":"E."},{"family":"Mostafa","given":"N. M."},{"family":"Pinsky","given":"B."},{"family":"Sundaram","given":"M."},{"family":"Gu","given":"Y."},{"family":"Carlson","given":"D. M."},{"family":"Jemec","given":"G. B."}],"issued":{"date-parts":[["2016",8,4]]}}}],"schema":"https://github.com/citation-style-language/schema/raw/master/csl-citation.json"} </w:instrText>
      </w:r>
      <w:r w:rsidR="00CE5C01">
        <w:fldChar w:fldCharType="separate"/>
      </w:r>
      <w:r w:rsidR="00CE5C01" w:rsidRPr="00CE5C01">
        <w:rPr>
          <w:rFonts w:cs="Calibri Light"/>
          <w:kern w:val="0"/>
          <w:vertAlign w:val="superscript"/>
        </w:rPr>
        <w:t>1</w:t>
      </w:r>
      <w:r w:rsidR="00CE5C01">
        <w:fldChar w:fldCharType="end"/>
      </w:r>
      <w:r w:rsidRPr="002B7993">
        <w:t xml:space="preserve">. </w:t>
      </w:r>
      <w:r w:rsidR="001005BD">
        <w:t xml:space="preserve">Adalimumab </w:t>
      </w:r>
      <w:r w:rsidR="004C3343">
        <w:t>for HS is licensed at</w:t>
      </w:r>
      <w:r w:rsidRPr="002B7993">
        <w:t xml:space="preserve"> a maintenance dose of either 40 mg weekly or 80 mg every two weeks </w:t>
      </w:r>
      <w:r w:rsidR="00472BCE">
        <w:t>for</w:t>
      </w:r>
      <w:r w:rsidRPr="002B7993">
        <w:t xml:space="preserve"> patients with moderate to severe HS who have failed conventional systemic therapy. </w:t>
      </w:r>
      <w:r w:rsidR="00B30F00">
        <w:t>G</w:t>
      </w:r>
      <w:r w:rsidR="001B6AB7" w:rsidRPr="002B7993">
        <w:t xml:space="preserve">uidelines </w:t>
      </w:r>
      <w:r w:rsidR="00B30F00">
        <w:t xml:space="preserve">typically </w:t>
      </w:r>
      <w:r w:rsidR="001B6AB7" w:rsidRPr="002B7993">
        <w:t>advocate assessing treatment response at 12 weeks</w:t>
      </w:r>
      <w:r w:rsidR="00FA723A">
        <w:t xml:space="preserve"> </w:t>
      </w:r>
      <w:r w:rsidR="00225092">
        <w:t xml:space="preserve">and UK National Institute </w:t>
      </w:r>
      <w:r w:rsidR="001068EC">
        <w:t xml:space="preserve">for Health and Care Excellence (NICE) </w:t>
      </w:r>
      <w:r w:rsidR="00225092">
        <w:t>guidance</w:t>
      </w:r>
      <w:r w:rsidR="001B6AB7" w:rsidRPr="002B7993">
        <w:t xml:space="preserve"> defin</w:t>
      </w:r>
      <w:r w:rsidR="00225092">
        <w:t>es</w:t>
      </w:r>
      <w:r w:rsidR="001B6AB7" w:rsidRPr="002B7993">
        <w:t xml:space="preserve"> response as a reduction of ≥ 25% in total abscess and inflammatory nodule count with no increase in abscesses or draining fistulas</w:t>
      </w:r>
      <w:r w:rsidR="00B20BC2">
        <w:t xml:space="preserve"> (HiSCR 25)</w:t>
      </w:r>
      <w:r w:rsidR="001B6AB7" w:rsidRPr="002B7993">
        <w:t>.</w:t>
      </w:r>
      <w:r w:rsidR="00E265A7">
        <w:t xml:space="preserve"> </w:t>
      </w:r>
      <w:r w:rsidR="003967A3" w:rsidRPr="002B7993">
        <w:t xml:space="preserve">This study aimed to assess whether </w:t>
      </w:r>
      <w:r w:rsidR="003967A3">
        <w:t xml:space="preserve">therapeutic drug monitoring (TDM) and </w:t>
      </w:r>
      <w:r w:rsidR="003967A3" w:rsidRPr="002B7993">
        <w:t>dose escalation of adalimumab up to 80 mg/week improved patient outcomes</w:t>
      </w:r>
      <w:r w:rsidR="003967A3">
        <w:t>.</w:t>
      </w:r>
      <w:r w:rsidR="00151DA4">
        <w:t xml:space="preserve"> </w:t>
      </w:r>
    </w:p>
    <w:p w14:paraId="5C839BBD" w14:textId="6AB559BF" w:rsidR="00D50CA3" w:rsidRDefault="003967A3" w:rsidP="00827D44">
      <w:pPr>
        <w:spacing w:line="360" w:lineRule="auto"/>
      </w:pPr>
      <w:r>
        <w:t xml:space="preserve">A retrospective cohort study was conducted across four </w:t>
      </w:r>
      <w:r w:rsidR="00A25553">
        <w:t xml:space="preserve">UK </w:t>
      </w:r>
      <w:r>
        <w:t>sites: three NHS trusts in Bristol, London, and Birmingham, and one private clinic in Belfast.</w:t>
      </w:r>
      <w:r w:rsidR="00716458">
        <w:t xml:space="preserve"> </w:t>
      </w:r>
      <w:r w:rsidR="00EB63CD">
        <w:t xml:space="preserve">All patients with a diagnosis of HS who had been given adalimumab 80mg weekly </w:t>
      </w:r>
      <w:r w:rsidR="00F64AE3">
        <w:t xml:space="preserve">were identified </w:t>
      </w:r>
      <w:r w:rsidR="00666B70">
        <w:t xml:space="preserve">and </w:t>
      </w:r>
      <w:r w:rsidR="00924666">
        <w:t>electronic medical records were manually reviewed</w:t>
      </w:r>
      <w:r w:rsidR="00A46185">
        <w:t xml:space="preserve"> and data extracted.</w:t>
      </w:r>
      <w:r w:rsidR="00151DA4">
        <w:t xml:space="preserve"> </w:t>
      </w:r>
      <w:r w:rsidR="00B12A5B">
        <w:t>Anonymised data were collected on demographics, comorbidities, treatments, disease severity, patient-reported and clinical outcome measures, and drug and antibody levels.</w:t>
      </w:r>
      <w:r w:rsidR="001C1058">
        <w:t xml:space="preserve"> </w:t>
      </w:r>
      <w:r w:rsidR="00D46BFD">
        <w:t>D</w:t>
      </w:r>
      <w:r w:rsidR="00B307AE">
        <w:t>emographics are shown in Table 1.</w:t>
      </w:r>
      <w:r w:rsidR="00151DA4">
        <w:t xml:space="preserve"> </w:t>
      </w:r>
    </w:p>
    <w:p w14:paraId="37A0296E" w14:textId="76554DEE" w:rsidR="00827D44" w:rsidRDefault="00D0378C" w:rsidP="00827D44">
      <w:pPr>
        <w:spacing w:line="360" w:lineRule="auto"/>
      </w:pPr>
      <w:r w:rsidRPr="00D0378C">
        <w:t>Adalimumab levels were measured at baseline in 32 patients (</w:t>
      </w:r>
      <w:r w:rsidR="00F448B1">
        <w:t>mean</w:t>
      </w:r>
      <w:r w:rsidR="001D0991">
        <w:t xml:space="preserve"> 4.9</w:t>
      </w:r>
      <w:r w:rsidR="00E00611">
        <w:t>mg/L</w:t>
      </w:r>
      <w:r w:rsidR="001D0991">
        <w:t xml:space="preserve">, SD 3.6, range: </w:t>
      </w:r>
      <w:r w:rsidR="0036785F">
        <w:t>0.8-12.5</w:t>
      </w:r>
      <w:r w:rsidRPr="00D0378C">
        <w:t xml:space="preserve">) and at </w:t>
      </w:r>
      <w:r w:rsidR="004022A4">
        <w:t>3</w:t>
      </w:r>
      <w:r w:rsidRPr="00D0378C">
        <w:t xml:space="preserve"> months in 9 patients (me</w:t>
      </w:r>
      <w:r w:rsidR="005713E0">
        <w:t>an</w:t>
      </w:r>
      <w:r w:rsidRPr="00D0378C">
        <w:t xml:space="preserve"> </w:t>
      </w:r>
      <w:r w:rsidR="00E00611">
        <w:t>10.9</w:t>
      </w:r>
      <w:r w:rsidRPr="00D0378C">
        <w:t xml:space="preserve"> mg/L, </w:t>
      </w:r>
      <w:r w:rsidR="00E00611">
        <w:t xml:space="preserve">SD 6.2 </w:t>
      </w:r>
      <w:r w:rsidR="00151DA4">
        <w:t>range: 7-27.2</w:t>
      </w:r>
      <w:r w:rsidRPr="00D0378C">
        <w:t>). Adalimumab antibodies at baseline (n=23) had a median of 6.3 (IQR: 6.0-10.0), with 12 (52%) below detection limits.</w:t>
      </w:r>
      <w:r w:rsidR="005544F7">
        <w:t xml:space="preserve"> </w:t>
      </w:r>
      <w:r w:rsidR="005544F7" w:rsidRPr="00CA1188">
        <w:t xml:space="preserve">At </w:t>
      </w:r>
      <w:r w:rsidR="004022A4">
        <w:t>3</w:t>
      </w:r>
      <w:r w:rsidR="005544F7" w:rsidRPr="00CA1188">
        <w:t xml:space="preserve"> months (n=4), </w:t>
      </w:r>
      <w:r w:rsidR="005544F7">
        <w:t xml:space="preserve">the </w:t>
      </w:r>
      <w:r w:rsidR="005544F7" w:rsidRPr="00CA1188">
        <w:t xml:space="preserve">median </w:t>
      </w:r>
      <w:r w:rsidR="00336A2C">
        <w:t xml:space="preserve">antibody </w:t>
      </w:r>
      <w:r w:rsidR="005544F7">
        <w:t>levels were</w:t>
      </w:r>
      <w:r w:rsidR="005544F7" w:rsidRPr="00CA1188">
        <w:t xml:space="preserve"> 3.0 (IQR: 0-8.5, range 0-11).</w:t>
      </w:r>
      <w:r w:rsidR="00827D44">
        <w:t xml:space="preserve"> The mean duration of </w:t>
      </w:r>
      <w:r w:rsidR="00995213">
        <w:t xml:space="preserve">adalimumab </w:t>
      </w:r>
      <w:r w:rsidR="00827D44">
        <w:t xml:space="preserve">treatment </w:t>
      </w:r>
      <w:r w:rsidR="000B2A02">
        <w:t>before starting the higher dose was 22.1 months (SD 17</w:t>
      </w:r>
      <w:r w:rsidR="00995213">
        <w:t>.6</w:t>
      </w:r>
      <w:r w:rsidR="000B2A02">
        <w:t xml:space="preserve"> </w:t>
      </w:r>
      <w:r w:rsidR="00995213">
        <w:t>range: 3-67)</w:t>
      </w:r>
      <w:r w:rsidR="00827D44">
        <w:t xml:space="preserve"> </w:t>
      </w:r>
      <w:r w:rsidR="00995213">
        <w:t xml:space="preserve">and the mean duration on the higher dose was </w:t>
      </w:r>
      <w:r w:rsidR="00827D44">
        <w:t>9.</w:t>
      </w:r>
      <w:r w:rsidR="000B2A02">
        <w:t>8</w:t>
      </w:r>
      <w:r w:rsidR="00827D44">
        <w:t xml:space="preserve"> months (SD 7.6 range: 3-39).</w:t>
      </w:r>
      <w:r w:rsidR="00151DA4">
        <w:t xml:space="preserve"> </w:t>
      </w:r>
    </w:p>
    <w:p w14:paraId="5B4A24C1" w14:textId="279B8342" w:rsidR="00D0378C" w:rsidRPr="00D0378C" w:rsidRDefault="00C34EAE" w:rsidP="00D0378C">
      <w:pPr>
        <w:spacing w:line="360" w:lineRule="auto"/>
      </w:pPr>
      <w:r>
        <w:t xml:space="preserve">Figure 1 shows </w:t>
      </w:r>
      <w:r w:rsidR="00A219D3">
        <w:t>a</w:t>
      </w:r>
      <w:r>
        <w:t xml:space="preserve"> comparison </w:t>
      </w:r>
      <w:r w:rsidR="00991EB3">
        <w:t xml:space="preserve">of </w:t>
      </w:r>
      <w:r w:rsidR="00FB1E90">
        <w:t xml:space="preserve">outcome measures at baseline and 3 months. </w:t>
      </w:r>
      <w:r w:rsidR="00D0378C" w:rsidRPr="00D0378C">
        <w:t xml:space="preserve">Baseline </w:t>
      </w:r>
      <w:r w:rsidR="00E83DDA" w:rsidRPr="00E83DDA">
        <w:t xml:space="preserve">International </w:t>
      </w:r>
      <w:r w:rsidR="00F42694">
        <w:t>HS</w:t>
      </w:r>
      <w:r w:rsidR="00E83DDA" w:rsidRPr="00E83DDA">
        <w:t xml:space="preserve"> Severity Score System</w:t>
      </w:r>
      <w:r w:rsidR="00E83DDA">
        <w:t xml:space="preserve"> (</w:t>
      </w:r>
      <w:r w:rsidR="00D0378C" w:rsidRPr="00D0378C">
        <w:t>IHS4</w:t>
      </w:r>
      <w:r w:rsidR="00E83DDA">
        <w:t>)</w:t>
      </w:r>
      <w:r w:rsidR="00D0378C" w:rsidRPr="00D0378C">
        <w:t xml:space="preserve"> scores (n=28) had a mean of 34.1 (SD 23.9</w:t>
      </w:r>
      <w:r w:rsidR="00DD5EAA">
        <w:t xml:space="preserve"> </w:t>
      </w:r>
      <w:r w:rsidR="000C3CE6">
        <w:t>range 4-95</w:t>
      </w:r>
      <w:r w:rsidR="00D0378C" w:rsidRPr="00D0378C">
        <w:t>), reducing to 23.2 (SD 17.0</w:t>
      </w:r>
      <w:r w:rsidR="000C3CE6">
        <w:t xml:space="preserve"> </w:t>
      </w:r>
      <w:r w:rsidR="00136E60">
        <w:t>range 2-59</w:t>
      </w:r>
      <w:r w:rsidR="00D0378C" w:rsidRPr="00D0378C">
        <w:t xml:space="preserve">) at </w:t>
      </w:r>
      <w:r w:rsidR="004022A4">
        <w:t>3</w:t>
      </w:r>
      <w:r w:rsidR="00D0378C" w:rsidRPr="00D0378C">
        <w:t xml:space="preserve"> months (n=18). In 16 paired patients, 10 (63%) worsened, five (31%) improved, and one (6%) remained unchanged (p=0.11). Quality of life was assessed using </w:t>
      </w:r>
      <w:r w:rsidR="00411244">
        <w:t xml:space="preserve">the HS </w:t>
      </w:r>
      <w:r w:rsidR="005B4146">
        <w:t>Quality</w:t>
      </w:r>
      <w:r w:rsidR="00411244">
        <w:t xml:space="preserve"> of Life </w:t>
      </w:r>
      <w:r w:rsidR="005B4146">
        <w:t>(</w:t>
      </w:r>
      <w:r w:rsidR="00D0378C" w:rsidRPr="00D0378C">
        <w:t>HiSQOL</w:t>
      </w:r>
      <w:r w:rsidR="005B4146">
        <w:t>)</w:t>
      </w:r>
      <w:r w:rsidR="00D0378C" w:rsidRPr="00D0378C">
        <w:t xml:space="preserve"> (n=8) or </w:t>
      </w:r>
      <w:r w:rsidR="005B4146">
        <w:t>Dermatology Life Quality Index (</w:t>
      </w:r>
      <w:r w:rsidR="00D0378C" w:rsidRPr="00D0378C">
        <w:t>DLQI</w:t>
      </w:r>
      <w:r w:rsidR="005B4146">
        <w:t>)</w:t>
      </w:r>
      <w:r w:rsidR="00D0378C" w:rsidRPr="00D0378C">
        <w:t xml:space="preserve"> (n=26) at baseline, with mean scores of 46.9 (SD 12.1</w:t>
      </w:r>
      <w:r w:rsidR="002A7382">
        <w:t>, range 28-63</w:t>
      </w:r>
      <w:r w:rsidR="00D0378C" w:rsidRPr="00D0378C">
        <w:t>) and 20.9 (SD 6.0</w:t>
      </w:r>
      <w:r w:rsidR="002A7382">
        <w:t xml:space="preserve">, </w:t>
      </w:r>
      <w:r w:rsidR="00EE6E13">
        <w:t>range 11-30</w:t>
      </w:r>
      <w:r w:rsidR="00D0378C" w:rsidRPr="00D0378C">
        <w:t xml:space="preserve">) respectively. </w:t>
      </w:r>
      <w:r w:rsidR="005E6D4B" w:rsidRPr="00D0378C">
        <w:t xml:space="preserve">At </w:t>
      </w:r>
      <w:r w:rsidR="005E6D4B">
        <w:t>3</w:t>
      </w:r>
      <w:r w:rsidR="005E6D4B" w:rsidRPr="00D0378C">
        <w:t xml:space="preserve"> months, paired analysis showed no significant improvement in either HiSQOL (n=5, p=1.00) or DLQI (n=16,</w:t>
      </w:r>
      <w:r w:rsidR="005E6D4B">
        <w:t xml:space="preserve"> </w:t>
      </w:r>
      <w:r w:rsidR="005E6D4B" w:rsidRPr="00D0378C">
        <w:t>p=0.15).</w:t>
      </w:r>
    </w:p>
    <w:p w14:paraId="4670DD40" w14:textId="2EA6E37C" w:rsidR="00D0378C" w:rsidRDefault="00D0378C" w:rsidP="00D0378C">
      <w:pPr>
        <w:spacing w:line="360" w:lineRule="auto"/>
      </w:pPr>
      <w:r w:rsidRPr="00D0378C">
        <w:t xml:space="preserve">Mental health assessments at baseline showed mean </w:t>
      </w:r>
      <w:r w:rsidR="00760A0C" w:rsidRPr="00760A0C">
        <w:t>Patient Health Questionnaire-9</w:t>
      </w:r>
      <w:r w:rsidR="00760A0C">
        <w:t xml:space="preserve"> (</w:t>
      </w:r>
      <w:r w:rsidRPr="00760A0C">
        <w:t>PHQ9</w:t>
      </w:r>
      <w:r w:rsidR="00760A0C">
        <w:t>)</w:t>
      </w:r>
      <w:r w:rsidRPr="00D0378C">
        <w:t xml:space="preserve"> scores of 10.6 (n=16, SD 8.8) </w:t>
      </w:r>
      <w:r w:rsidR="00306380" w:rsidRPr="00D0378C">
        <w:t xml:space="preserve">and </w:t>
      </w:r>
      <w:r w:rsidR="00306380">
        <w:t>General</w:t>
      </w:r>
      <w:r w:rsidR="0071756E">
        <w:t xml:space="preserve"> Anxiety Disorder</w:t>
      </w:r>
      <w:r w:rsidR="00306380">
        <w:t>-7 (</w:t>
      </w:r>
      <w:r w:rsidRPr="00D0378C">
        <w:t>GAD7</w:t>
      </w:r>
      <w:r w:rsidR="00306380">
        <w:t>)</w:t>
      </w:r>
      <w:r w:rsidRPr="00D0378C">
        <w:t xml:space="preserve"> scores of 12.2 (n=10, SD 7.8). </w:t>
      </w:r>
      <w:r w:rsidR="005E6D4B" w:rsidRPr="00D0378C">
        <w:t xml:space="preserve">At </w:t>
      </w:r>
      <w:r w:rsidR="005E6D4B">
        <w:t>3</w:t>
      </w:r>
      <w:r w:rsidR="005E6D4B" w:rsidRPr="00D0378C">
        <w:t xml:space="preserve"> months, no significant changes were observed (PHQ9: p=0.38; GAD7: p=0.75), although 50% of patients showed </w:t>
      </w:r>
      <w:r w:rsidR="005E6D4B" w:rsidRPr="00D0378C">
        <w:lastRenderedPageBreak/>
        <w:t>improvement in both measures.</w:t>
      </w:r>
      <w:r w:rsidRPr="00D0378C">
        <w:t xml:space="preserve"> </w:t>
      </w:r>
      <w:r w:rsidR="005E6D4B" w:rsidRPr="00D0378C">
        <w:t>Overall, clinician assessment indicated meaningful perceived improvement in 24/42 patients (57.1%).</w:t>
      </w:r>
      <w:r w:rsidR="00D1445E">
        <w:t xml:space="preserve"> </w:t>
      </w:r>
      <w:r w:rsidR="001A234C">
        <w:t>No adverse effects were observed in any of the patients.</w:t>
      </w:r>
      <w:r w:rsidR="00151DA4">
        <w:t xml:space="preserve"> </w:t>
      </w:r>
    </w:p>
    <w:p w14:paraId="6E4301A1" w14:textId="2CD12A51" w:rsidR="00DF025C" w:rsidRDefault="00DF025C" w:rsidP="00DF025C">
      <w:pPr>
        <w:spacing w:line="360" w:lineRule="auto"/>
      </w:pPr>
      <w:r>
        <w:t>A systematic review of high-dose adalimumab in HS identified four studies investigating the efficacy of 80 mg adalimumab weekly</w:t>
      </w:r>
      <w:r>
        <w:fldChar w:fldCharType="begin"/>
      </w:r>
      <w:r>
        <w:instrText xml:space="preserve"> ADDIN ZOTERO_ITEM CSL_CITATION {"citationID":"cIdUzvLj","properties":{"formattedCitation":"\\super 5\\nosupersub{}","plainCitation":"5","noteIndex":0},"citationItems":[{"id":4644,"uris":["http://zotero.org/users/15596475/items/NI7T79CZ"],"itemData":{"id":4644,"type":"article-journal","abstract":"Adalimumab, a tumour necrosis factor-alpha inhibitor, has demonstrated efficacy in managing hidradenitis suppurativa (HS) at the standard dose of 40 mg weekly; however, many patients do not achieve adequate clinical response with this regimen. This systematic review aimed to evaluate the efficacy and safety of 80 mg weekly adalimumab in HS management. Four studies, with a total of 67 patients, were reviewed. The studies reported improvements in HS disease severity and quality of life measures with the use of high-dose adalimumab. Adverse events were infrequent and generally mild, with no severe adverse events reported. The findings suggest a favourable response to high-dose adalimumab for patients with severe or refractory HS; however, definitive conclusions are limited by the scarcity and low quality of the available data. Further high-quality research with standardised outcome measures and longer follow-up are needed to validate the role of dose intensification in HS management.","container-title":"The Australasian Journal of Dermatology","DOI":"10.1111/ajd.14465","ISSN":"1440-0960","issue":"4","journalAbbreviation":"Australas J Dermatol","language":"eng","note":"PMID: 40130785","page":"e197-e201","source":"PubMed","title":"Efficacy of High Dose Adalimumab for the Management of Hidradenitis Suppurativa: A Systematic Review","title-short":"Efficacy of High Dose Adalimumab for the Management of Hidradenitis Suppurativa","volume":"66","author":[{"family":"Jones","given":"Leah"},{"family":"Sun","given":"Jihee"},{"family":"Kennedy","given":"Harriet"}],"issued":{"date-parts":[["2025",6]]}}}],"schema":"https://github.com/citation-style-language/schema/raw/master/csl-citation.json"} </w:instrText>
      </w:r>
      <w:r>
        <w:fldChar w:fldCharType="separate"/>
      </w:r>
      <w:r w:rsidRPr="00616470">
        <w:rPr>
          <w:rFonts w:cs="Calibri Light"/>
          <w:kern w:val="0"/>
          <w:vertAlign w:val="superscript"/>
        </w:rPr>
        <w:t>5</w:t>
      </w:r>
      <w:r>
        <w:fldChar w:fldCharType="end"/>
      </w:r>
      <w:r>
        <w:t>. Sample sizes ranged from 6-22.  All were deemed low quality</w:t>
      </w:r>
      <w:r w:rsidR="00541DEA">
        <w:t xml:space="preserve"> but </w:t>
      </w:r>
      <w:r>
        <w:t xml:space="preserve">reported statistically significant improvements in outcomes.  </w:t>
      </w:r>
    </w:p>
    <w:p w14:paraId="0E5CF98F" w14:textId="77777777" w:rsidR="00397102" w:rsidRDefault="001A234C" w:rsidP="00D46BFD">
      <w:pPr>
        <w:spacing w:line="360" w:lineRule="auto"/>
      </w:pPr>
      <w:r>
        <w:t>In the treatment of inflammatory bowel disease, TDM is recommended as routine practice</w:t>
      </w:r>
      <w:r>
        <w:fldChar w:fldCharType="begin"/>
      </w:r>
      <w:r>
        <w:instrText xml:space="preserve"> ADDIN ZOTERO_ITEM CSL_CITATION {"citationID":"sE5gcjLe","properties":{"formattedCitation":"\\super 2\\nosupersub{}","plainCitation":"2","noteIndex":0},"citationItems":[{"id":4924,"uris":["http://zotero.org/users/15596475/items/72FL3H57"],"itemData":{"id":4924,"type":"article-journal","abstract":"In response to recent advancements in inflammatory bowel disease (IBD) management, the British Society of Gastroenterology (BSG) Clinical Services and Standards Committee (CSSC) has commissioned the BSG IBD section to update its guidelines, last revised in 2019. These updated guidelines aim to complement the IBD standards and promote the use of the national primary care diagnostic pathway for lower gastrointestinal symptoms to enhance diagnostic accuracy and timeliness. Formulated through a systematic and transparent process, this document reflects a consensus of best practices based on current evidence. The guideline, while developed primarily for the UK, is structured to support IBD management internationally. It is endorsed by the BSG executive board and CSSC without external commercial funding, with involvement primarily supported through professional roles in public institutions and the National Health Service (NHS). Methodological revisions since the prior guidelines have enhanced rigor in technical review and development, with methodology details published independently following peer review. In developing the recommendations, 89 clinical experts and stakeholders participated in an online survey, identifying primary outcomes, such as clinical and endoscopic remission, as well as adverse event metrics, all stratified by clinically relevant effect sizes. These guidelines are intended to support clinical decision-making but are not prescriptive, recognizing that individual clinical scenarios may warrant tailored approaches. Further research may inform future revisions as new evidence emerges.","DOI":"10.1136/gutjnl-2024-334395","language":"en","license":"© Author(s) (or their employer(s)) 2025. Re-use permitted under CC BY-NC. No commercial re-use. See rights and permissions. Published by BMJ Group.. http://creativecommons.org/licenses/by-nc/4.0/This is an open access article distributed in accordance with the Creative Commons Attribution Non Commercial (CC BY-NC 4.0) license, which permits others to distribute, remix, adapt, build upon this work non-commercially, and license their derivative works on different terms, provided the original work is properly cited, appropriate credit is given, any changes made indicated, and the use is non-commercial. See: http://creativecommons.org/licenses/by-nc/4.0/.","note":"publisher: BMJ Publishing Group\nsection: Guideline","source":"gut.bmj.com","title":"British Society of Gastroenterology guidelines on inflammatory bowel disease in adults: 2025","title-short":"British Society of Gastroenterology guidelines on inflammatory bowel disease in adults","URL":"https://gut.bmj.com/content/74/Suppl_2/s1","author":[{"family":"Moran","given":"Gordon W."},{"family":"Gordon","given":"Morris"},{"family":"Sinopoulou","given":"Vassiliki"},{"family":"Radford","given":"Shellie J."},{"family":"Darie","given":"Ana-Maria"},{"family":"Vuyyuru","given":"Sudheer Kumar"},{"family":"Alrubaiy","given":"Laith"},{"family":"Arebi","given":"Naila"},{"family":"Blackwell","given":"Jonathan"},{"family":"Butler","given":"Thomas D."},{"family":"Chew","given":"Thean"},{"family":"Colwill","given":"Michael"},{"family":"Cooney","given":"Rachel"},{"family":"Marco","given":"Gabriele De"},{"family":"Din","given":"Said"},{"family":"Din","given":"Shahida"},{"family":"Feakins","given":"Roger"},{"family":"Gasparetto","given":"Marco"},{"family":"Gordon","given":"Hannah"},{"family":"Hansen","given":"Richard"},{"family":"Kok","given":"Klaartje B."},{"family":"Lamb","given":"Christopher A."},{"family":"Limdi","given":"Jimmy"},{"family":"Liu","given":"Eleanor"},{"family":"Loughrey","given":"Maurice B."},{"family":"McGonagle","given":"Dennis"},{"family":"Patel","given":"Kamal"},{"family":"Pavlidis","given":"Polychronis"},{"family":"Selinger","given":"Christian"},{"family":"Shale","given":"Matthew"},{"family":"Smith","given":"Philip J."},{"family":"Subramanian","given":"Sreedhar"},{"family":"Taylor","given":"Stuart A."},{"family":"Tun","given":"Gloria Shwe Zin"},{"family":"Verma","given":"Ajay Mark"},{"family":"Wong","given":"Newton A. C. S."}],"accessed":{"date-parts":[["2025",11,29]]},"issued":{"date-parts":[["2025",6,1]]}}}],"schema":"https://github.com/citation-style-language/schema/raw/master/csl-citation.json"} </w:instrText>
      </w:r>
      <w:r>
        <w:fldChar w:fldCharType="separate"/>
      </w:r>
      <w:r w:rsidRPr="00B62F69">
        <w:rPr>
          <w:rFonts w:cs="Calibri Light"/>
          <w:kern w:val="0"/>
          <w:vertAlign w:val="superscript"/>
        </w:rPr>
        <w:t>2</w:t>
      </w:r>
      <w:r>
        <w:fldChar w:fldCharType="end"/>
      </w:r>
      <w:r>
        <w:t>.</w:t>
      </w:r>
      <w:r w:rsidR="00151DA4">
        <w:t xml:space="preserve"> </w:t>
      </w:r>
      <w:r w:rsidR="003936A8">
        <w:t>G</w:t>
      </w:r>
      <w:r>
        <w:t xml:space="preserve">uidelines recognise that dose escalation </w:t>
      </w:r>
      <w:r w:rsidR="00163AFA">
        <w:t>improves</w:t>
      </w:r>
      <w:r>
        <w:t xml:space="preserve"> clinical outcomes, but in the presence of antibodies, it is less likely to be effective.</w:t>
      </w:r>
      <w:r w:rsidR="00151DA4">
        <w:t xml:space="preserve"> </w:t>
      </w:r>
      <w:r>
        <w:t>Data on optimal target levels are mixed.</w:t>
      </w:r>
      <w:r w:rsidR="00151DA4">
        <w:t xml:space="preserve"> </w:t>
      </w:r>
      <w:r w:rsidR="00EE608A">
        <w:t>The PANTS extension study</w:t>
      </w:r>
      <w:r w:rsidR="00EE608A">
        <w:fldChar w:fldCharType="begin"/>
      </w:r>
      <w:r w:rsidR="00EE608A">
        <w:instrText xml:space="preserve"> ADDIN ZOTERO_ITEM CSL_CITATION {"citationID":"oPJfnC0h","properties":{"formattedCitation":"\\super 3\\nosupersub{}","plainCitation":"3","noteIndex":0},"citationItems":[{"id":4659,"uris":["http://zotero.org/users/15596475/items/ABXZQMHT"],"itemData":{"id":4659,"type":"article-journal","container-title":"The Lancet Gastroenterology &amp; Hepatology","DOI":"10.1016/S2468-1253(24)00044-X","ISSN":"2468-1253, 2468-1156","issue":"6","journalAbbreviation":"The Lancet Gastroenterology &amp; Hepatology","language":"English","note":"publisher: Elsevier\nPMID: 38640937","page":"521-538","source":"www.thelancet.com","title":"Mechanisms and management of loss of response to anti-TNF therapy for patients with Crohn's disease: 3-year data from the prospective, multicentre PANTS cohort study","title-short":"Mechanisms and management of loss of response to anti-TNF therapy for patients with Crohn's disease","volume":"9","author":[{"family":"Chanchlani","given":"Neil"},{"family":"Lin","given":"Simeng"},{"family":"Bewshea","given":"Claire"},{"family":"Hamilton","given":"Benjamin"},{"family":"Thomas","given":"Amanda"},{"family":"Smith","given":"Rebecca"},{"family":"Roberts","given":"Christopher"},{"family":"Bishara","given":"Maria"},{"family":"Nice","given":"Rachel"},{"family":"Lees","given":"Charlie W."},{"family":"Sebastian","given":"Shaji"},{"family":"Irving","given":"Peter M."},{"family":"Russell","given":"Richard K."},{"family":"McDonald","given":"Timothy J."},{"family":"Goodhand","given":"James R."},{"family":"Ahmad","given":"Tariq"},{"family":"Kennedy","given":"Nicholas A."},{"family":"Patel","given":"Vinod"},{"family":"Mazhar","given":"Zia"},{"family":"Saich","given":"Rebecca"},{"family":"Colleypriest","given":"Ben"},{"family":"Tham","given":"Tony C."},{"family":"Iqbal","given":"Tariq"},{"family":"Kaushik","given":"Vishal"},{"family":"Murugesan","given":"Senthil"},{"family":"Singh","given":"Salil"},{"family":"Weaver","given":"Sean"},{"family":"Preston","given":"Cathryn"},{"family":"Butt","given":"Assad"},{"family":"Smith","given":"Melissa"},{"family":"Basude","given":"Dharamveer"},{"family":"Beale","given":"Amanda"},{"family":"Langlands","given":"Sarah"},{"family":"Direkze","given":"Natalie"},{"family":"Parkes","given":"Miles"},{"family":"Torrente","given":"Franco"},{"family":"Negro","given":"Juan De La Revella"},{"family":"MacDonald","given":"Chris Ewen"},{"family":"Evans","given":"Stephen M."},{"family":"Gunasekera","given":"Anton VJ"},{"family":"Thakur","given":"Alka"},{"family":"Elphick","given":"David"},{"family":"Shenoy","given":"Achuth"},{"family":"Nwokolo","given":"Chuka U."},{"family":"Dhar","given":"Anjan"},{"family":"Cole","given":"Andrew T."},{"family":"Agrawal","given":"Anurag"},{"family":"Bridger","given":"Stephen"},{"family":"Doherty","given":"Julie"},{"family":"Cooper","given":"Sheldon C."},{"family":"Silva","given":"Shanika","dropping-particle":"de"},{"family":"Mowat","given":"Craig"},{"family":"Mayhead","given":"Phillip"},{"family":"Lees","given":"Charlie"},{"family":"Jones","given":"Gareth"},{"family":"Ahmad","given":"Tariq"},{"family":"Hart","given":"James W."},{"family":"Kennedy","given":"Nicholas A."},{"family":"Goodhand","given":"James R."},{"family":"Lin","given":"Simeng"},{"family":"Chanchlani","given":"Neil"},{"family":"Nice","given":"Rachel"},{"family":"McDonald","given":"Timothy J."},{"family":"Bewshea","given":"Claire"},{"family":"Al-Nuaimi","given":"Yusur"},{"family":"Richards","given":"Ellen"},{"family":"Haigh","given":"Richard"},{"family":"Greenish","given":"Huw"},{"family":"Heath","given":"Harry"},{"family":"Gaya","given":"Daniel R."},{"family":"Russell","given":"Richard K."},{"family":"Gervais","given":"Lisa"},{"family":"Dunckley","given":"Paul"},{"family":"Mahmood","given":"Tariq"},{"family":"Banim","given":"Paul JR"},{"family":"Sonwalkar","given":"Sunil"},{"family":"Ghosh","given":"Deb"},{"family":"Phillips","given":"Rosemary H."},{"family":"Azaz","given":"Amer"},{"family":"Sebastian","given":"Shaji"},{"family":"Shenderey","given":"Richard"},{"family":"Armstrong","given":"Lawrence"},{"family":"Bell","given":"Claire"},{"family":"Hariraj","given":"Radhakrishnan"},{"family":"Matthews","given":"Helen"},{"family":"Jafferbhoy","given":"Hasnain"},{"family":"Selinger","given":"Christian P."},{"family":"Zamvar","given":"Veena"},{"family":"Caestecker","given":"John S. De"},{"family":"Willmott","given":"Anne"},{"family":"Miller","given":"Richard"},{"family":"Babu","given":"Palani Sathish"},{"family":"Tzivinikos","given":"Christos"},{"family":"Bloom","given":"Stuart L."},{"family":"Chung-Faye","given":"Guy"},{"family":"Croft","given":"Nicholas M."},{"family":"Fell","given":"John ME"},{"family":"Harbord","given":"Marcus"},{"family":"Hart","given":"Ailsa"},{"family":"Hope","given":"Ben"},{"family":"Irving","given":"Peter M."},{"family":"Lindsay","given":"James O."},{"family":"Mawdsley","given":"Joel E."},{"family":"McNair","given":"Alistair"},{"family":"Monahan","given":"Kevin J."},{"family":"Murray","given":"Charles D."},{"family":"Orchard","given":"Timothy"},{"family":"Paul","given":"Thankam"},{"family":"Pollok","given":"Richard"},{"family":"Shah","given":"Neil"},{"family":"Bouri","given":"Sonia"},{"family":"Johnson","given":"Matt W."},{"family":"Modi","given":"Anita"},{"family":"Kabiru","given":"Kasamu Dawa"},{"family":"Baburajan","given":"B. K."},{"family":"Bhaduri","given":"Bim"},{"family":"Fagbemi","given":"Andrew Adebayo"},{"family":"Levison","given":"Scott"},{"family":"Limdi","given":"Jimmy K."},{"family":"Watts","given":"Gill"},{"family":"Foley","given":"Stephen"},{"family":"Ramadas","given":"Arvind"},{"family":"MacFaul","given":"George"},{"family":"Mansfield","given":"John"},{"family":"Grellier","given":"Leonie"},{"family":"Morris","given":"Mary-Anne"},{"family":"Tremelling","given":"Mark"},{"family":"Hawkey","given":"Chris"},{"family":"Kirkham","given":"Sian"},{"family":"Charlton","given":"Charles PJ"},{"family":"Rodrigues","given":"Astor"},{"family":"Simmons","given":"Alison"},{"family":"Lewis","given":"Stephen J."},{"family":"Snook","given":"Jonathon"},{"family":"Tighe","given":"Mark"},{"family":"Goggin","given":"Patrick M."},{"family":"Silva","given":"Aminda N. De"},{"family":"Lal","given":"Simon"},{"family":"Smith","given":"Mark S."},{"family":"Panter","given":"Simon"},{"family":"Cummings","given":"JR Fraser"},{"family":"Dharmisari","given":"Suranga"},{"family":"Carter","given":"Martyn"},{"family":"Watts","given":"David"},{"family":"Mahmood","given":"Zahid"},{"family":"McLain","given":"Bruce"},{"family":"Sen","given":"Sandip"},{"family":"Pigott","given":"Anna J."},{"family":"Hobday","given":"David"},{"family":"Wesley","given":"Emma"},{"family":"Johnston","given":"Richard"},{"family":"Edwards","given":"Cathryn"},{"family":"Beckly","given":"John"},{"family":"Vani","given":"Deven"},{"family":"Ramakrishnan","given":"Subramaniam"},{"family":"Chaudhary","given":"Rakesh"},{"family":"Trudgill","given":"Nigel J."},{"family":"Cooney","given":"Rachel"},{"family":"Bell","given":"Andy"},{"family":"Prasad","given":"Neeraj"},{"family":"Gordon","given":"John N."},{"family":"Brookes","given":"Matthew J."},{"family":"Li","given":"Andy"},{"family":"Gore","given":"Stephen"}],"issued":{"date-parts":[["2024",6,1]]}}}],"schema":"https://github.com/citation-style-language/schema/raw/master/csl-citation.json"} </w:instrText>
      </w:r>
      <w:r w:rsidR="00EE608A">
        <w:fldChar w:fldCharType="separate"/>
      </w:r>
      <w:r w:rsidR="00EE608A" w:rsidRPr="0094501A">
        <w:rPr>
          <w:rFonts w:cs="Calibri Light"/>
          <w:kern w:val="0"/>
          <w:vertAlign w:val="superscript"/>
        </w:rPr>
        <w:t>3</w:t>
      </w:r>
      <w:r w:rsidR="00EE608A">
        <w:fldChar w:fldCharType="end"/>
      </w:r>
      <w:r w:rsidR="00EE608A">
        <w:t xml:space="preserve"> measured drug levels proactively at 14 weeks and found optimal levels to predict remission in Crohn’s disease over a 3 year period were between 10.1-12.0 mg/L.</w:t>
      </w:r>
      <w:r w:rsidR="00151DA4">
        <w:t xml:space="preserve"> </w:t>
      </w:r>
      <w:r w:rsidR="00991EB3">
        <w:t>They highlighted drug levels were associated with multiple factors, including weight, immunogenicity, and disease severity.</w:t>
      </w:r>
      <w:r w:rsidR="00151DA4">
        <w:t xml:space="preserve"> </w:t>
      </w:r>
    </w:p>
    <w:p w14:paraId="62005A72" w14:textId="2AE7816D" w:rsidR="00FD28B3" w:rsidRDefault="0080032D" w:rsidP="00D46BFD">
      <w:pPr>
        <w:spacing w:line="360" w:lineRule="auto"/>
      </w:pPr>
      <w:r>
        <w:t>In rheumatology, studies have advocated TDM for inflammatory joint diseases to improve outcomes.</w:t>
      </w:r>
      <w:r w:rsidR="009C2E38">
        <w:t xml:space="preserve"> </w:t>
      </w:r>
      <w:r w:rsidR="006F403D">
        <w:t>The European Alliance of Associations for Rheumatology  released</w:t>
      </w:r>
      <w:r w:rsidR="00151DA4">
        <w:t xml:space="preserve"> </w:t>
      </w:r>
      <w:r w:rsidR="00590915">
        <w:t>principles for TDM</w:t>
      </w:r>
      <w:r w:rsidR="00987A4B">
        <w:fldChar w:fldCharType="begin"/>
      </w:r>
      <w:r w:rsidR="00987A4B">
        <w:instrText xml:space="preserve"> ADDIN ZOTERO_ITEM CSL_CITATION {"citationID":"J0mU1u4j","properties":{"formattedCitation":"\\super 4\\nosupersub{}","plainCitation":"4","noteIndex":0},"citationItems":[{"id":4930,"uris":["http://zotero.org/users/15596475/items/JVUXYC9Z"],"itemData":{"id":4930,"type":"article-journal","abstract":"Objective To develop EULAR points-to-consider for therapeutic drug monitoring (TDM) of biopharmaceuticals in inflammatory rheumatic and musculoskeletal diseases (RMDs).\n\nMethods The points-to-consider were developed in accordance with EULAR standardised operation procedures by a multidisciplinary task force from eight European countries, based on a systematic literature review and expert consensus. Level of evidence and strength of the points-to-consider were determined, and mean levels of agreement among the task force were calculated using a 10-point rating scale.\n\nResults Six overarching principles and 13 points-to-consider were formulated. The level of agreement among the task force for the overarching principles and points-to-consider ranged from 8.4 to 9.9.The overarching principles define TDM and its subtypes, and reinforce the underlying pharmacokinetic/pharmacodynamic principles, which are relevant to all biopharmaceutical classes. The points-to-consider highlight the clinical utility of the measurement and interpretation of biopharmaceutical blood concentrations and antidrug antibodies in specific clinical scenarios, including factors that influence these parameters. In general, proactive use of TDM is not recommended but reactive TDM could be considered in certain clinical situations. An important factor limiting wider adoption of TDM is the lack of both high quality trials addressing effectiveness and safety of TDM and robust economic evaluation in patients with RMDs. Future research should focus on providing this evidence, as well as on further understanding of pharmacokinetic and pharmacodynamic characteristics of biopharmaceuticals.\n\nConclusion These points-to-consider are evidence-based and consensus-based statements for the use of TDM of biopharmaceuticals in inflammatory RMDs, addressing the clinical utility of TDM.","DOI":"10.1136/annrheumdis-2022-222155","language":"en","license":"© Author(s) (or their employer(s)) 2023. No commercial re-use. See rights and permissions. Published by BMJ.","note":"publisher: BMJ Publishing Group Ltd\nsection: Recommendation","source":"ard.bmj.com","title":"EULAR points to consider for therapeutic drug monitoring of biopharmaceuticals in inflammatory rheumatic and musculoskeletal diseases","URL":"https://ard.bmj.com/content/82/1/65","author":[{"family":"Krieckaert","given":"Charlotte LM"},{"family":"Tubergen","given":"Astrid","dropping-particle":"van"},{"family":"Gehin","given":"Johanna Elin"},{"family":"Hernández-Breijo","given":"Borja"},{"family":"Mélédo","given":"Guillaume Le"},{"family":"Balsa","given":"Alejandro"},{"family":"Böhm","given":"Peter"},{"family":"Cucnik","given":"Sasa"},{"family":"Elkayam","given":"Ori"},{"family":"Goll","given":"Guro L."},{"family":"Hooijberg","given":"Femke"},{"family":"Jani","given":"Meghna"},{"family":"Kiely","given":"Patrick DW"},{"family":"McCarthy","given":"Neil"},{"family":"Mulleman","given":"Denis"},{"family":"Navarro-Compán","given":"Victoria"},{"family":"Payne","given":"Katherine"},{"family":"Perry","given":"Martin E."},{"family":"Plasencia-Rodriguez","given":"Chamaida"},{"family":"Stones","given":"Simon R."},{"family":"Syversen","given":"Silje Watterdal"},{"family":"Vries","given":"Annick","dropping-particle":"de"},{"family":"Ward","given":"Katherine M."},{"family":"Wolbink","given":"Gertjan"},{"family":"Isaacs","given":"John D."}],"accessed":{"date-parts":[["2025",11,29]]},"issued":{"date-parts":[["2023",1,1]]}}}],"schema":"https://github.com/citation-style-language/schema/raw/master/csl-citation.json"} </w:instrText>
      </w:r>
      <w:r w:rsidR="00987A4B">
        <w:fldChar w:fldCharType="separate"/>
      </w:r>
      <w:r w:rsidR="00987A4B" w:rsidRPr="00987A4B">
        <w:rPr>
          <w:rFonts w:cs="Calibri Light"/>
          <w:kern w:val="0"/>
          <w:vertAlign w:val="superscript"/>
        </w:rPr>
        <w:t>4</w:t>
      </w:r>
      <w:r w:rsidR="00987A4B">
        <w:fldChar w:fldCharType="end"/>
      </w:r>
      <w:r w:rsidR="00F734C2">
        <w:t>.</w:t>
      </w:r>
      <w:r w:rsidR="00151DA4">
        <w:t xml:space="preserve"> </w:t>
      </w:r>
      <w:r>
        <w:t>While not advocat</w:t>
      </w:r>
      <w:r w:rsidR="000028EC">
        <w:t>ing routine</w:t>
      </w:r>
      <w:r>
        <w:t xml:space="preserve"> TDM, they recognise its use in cases of clinical non-response.</w:t>
      </w:r>
      <w:r w:rsidR="00151DA4">
        <w:t xml:space="preserve"> </w:t>
      </w:r>
      <w:r w:rsidR="00413996">
        <w:t xml:space="preserve">They </w:t>
      </w:r>
      <w:r w:rsidR="007B0792">
        <w:t xml:space="preserve">noted </w:t>
      </w:r>
      <w:r w:rsidR="00413996">
        <w:t>heterogeneity in guidance and lack of consensus on therapeutic ranges.</w:t>
      </w:r>
      <w:r w:rsidR="00151DA4">
        <w:t xml:space="preserve"> </w:t>
      </w:r>
    </w:p>
    <w:p w14:paraId="1AA708AA" w14:textId="716BA6A9" w:rsidR="00B32E02" w:rsidRDefault="00B32E02" w:rsidP="000C3570">
      <w:pPr>
        <w:spacing w:line="360" w:lineRule="auto"/>
      </w:pPr>
      <w:r>
        <w:t>Limitations of this study</w:t>
      </w:r>
      <w:r w:rsidR="002B06C8" w:rsidRPr="002B06C8">
        <w:t xml:space="preserve"> inclu</w:t>
      </w:r>
      <w:r>
        <w:t>de</w:t>
      </w:r>
      <w:r w:rsidR="002B06C8" w:rsidRPr="002B06C8">
        <w:t xml:space="preserve"> the use of different assessment parameters across centres, which restricted direct comparisons, and incomplete data on drug levels, antibody levels, and outcome measures. </w:t>
      </w:r>
      <w:r w:rsidR="004F4A56" w:rsidRPr="002B06C8">
        <w:t xml:space="preserve">Nevertheless, </w:t>
      </w:r>
      <w:r w:rsidR="005E420A">
        <w:t>the current study</w:t>
      </w:r>
      <w:r w:rsidR="005E420A" w:rsidRPr="002B06C8">
        <w:t xml:space="preserve"> </w:t>
      </w:r>
      <w:r w:rsidR="004F4A56" w:rsidRPr="002B06C8">
        <w:t xml:space="preserve">represents </w:t>
      </w:r>
      <w:r w:rsidR="005E420A">
        <w:t xml:space="preserve">one of </w:t>
      </w:r>
      <w:r w:rsidR="004F4A56" w:rsidRPr="002B06C8">
        <w:t>the largest cohort</w:t>
      </w:r>
      <w:r w:rsidR="005E420A">
        <w:t>s</w:t>
      </w:r>
      <w:r w:rsidR="004F4A56" w:rsidRPr="002B06C8">
        <w:t xml:space="preserve"> to date examining TDM and high-dose adalimumab in HS patients.</w:t>
      </w:r>
      <w:r w:rsidR="002B06C8" w:rsidRPr="002B06C8">
        <w:t xml:space="preserve"> </w:t>
      </w:r>
      <w:r w:rsidR="007010A2" w:rsidRPr="002B06C8">
        <w:t xml:space="preserve">Unlike previous studies, we did not observe significant </w:t>
      </w:r>
      <w:r w:rsidR="00C35FE0">
        <w:t xml:space="preserve">mean </w:t>
      </w:r>
      <w:r w:rsidR="007010A2" w:rsidRPr="002B06C8">
        <w:t>improvements across standardi</w:t>
      </w:r>
      <w:r w:rsidR="007010A2">
        <w:t>s</w:t>
      </w:r>
      <w:r w:rsidR="007010A2" w:rsidRPr="002B06C8">
        <w:t xml:space="preserve">ed outcome measures, despite over 50% of patients </w:t>
      </w:r>
      <w:r w:rsidR="00F142D9">
        <w:t>being assessed by their clinicians as showing</w:t>
      </w:r>
      <w:r w:rsidR="00F142D9" w:rsidRPr="002B06C8">
        <w:t xml:space="preserve"> </w:t>
      </w:r>
      <w:r w:rsidR="00F142D9">
        <w:t xml:space="preserve">overall </w:t>
      </w:r>
      <w:r w:rsidR="007010A2" w:rsidRPr="002B06C8">
        <w:t>improvement.</w:t>
      </w:r>
      <w:r w:rsidR="002B06C8" w:rsidRPr="002B06C8">
        <w:t xml:space="preserve"> </w:t>
      </w:r>
      <w:r w:rsidR="007010A2" w:rsidRPr="002B06C8">
        <w:t xml:space="preserve">This discrepancy may reflect delayed dose escalation, as 54.8% of patients had received standard-dose adalimumab for </w:t>
      </w:r>
      <w:r w:rsidR="00D212E8">
        <w:t>&gt;</w:t>
      </w:r>
      <w:r w:rsidR="007010A2" w:rsidRPr="002B06C8">
        <w:t>12 months before intensification.</w:t>
      </w:r>
      <w:r w:rsidR="00F25756">
        <w:t xml:space="preserve"> It may also be influenced by </w:t>
      </w:r>
      <w:r w:rsidR="00612619">
        <w:t>reporting</w:t>
      </w:r>
      <w:r w:rsidR="00F25756">
        <w:t xml:space="preserve"> bias in terms of</w:t>
      </w:r>
      <w:r w:rsidR="00D84C92">
        <w:t xml:space="preserve"> giving a favourable overall assessment of response after undertaking </w:t>
      </w:r>
      <w:r w:rsidR="00907120">
        <w:t>adalimumab</w:t>
      </w:r>
      <w:r w:rsidR="00D84C92">
        <w:t xml:space="preserve"> dose intensification.</w:t>
      </w:r>
      <w:r w:rsidR="00F25756">
        <w:t xml:space="preserve"> </w:t>
      </w:r>
    </w:p>
    <w:p w14:paraId="56DBCC5A" w14:textId="17D27F01" w:rsidR="00122F34" w:rsidRDefault="007010A2" w:rsidP="000C3570">
      <w:pPr>
        <w:spacing w:line="360" w:lineRule="auto"/>
      </w:pPr>
      <w:r w:rsidRPr="002B21B2">
        <w:t>Future research should compare the effectiveness of proactive and reactive management strategies in adalimumab non-responders.</w:t>
      </w:r>
      <w:r w:rsidR="002B21B2" w:rsidRPr="002B21B2">
        <w:t xml:space="preserve"> </w:t>
      </w:r>
      <w:r w:rsidR="00122017" w:rsidRPr="002B21B2">
        <w:t xml:space="preserve">Specifically, early intervention at 12 weeks using TDM-guided dose escalation </w:t>
      </w:r>
      <w:r w:rsidR="00612619">
        <w:t>c</w:t>
      </w:r>
      <w:r w:rsidR="00612619" w:rsidRPr="002B21B2">
        <w:t xml:space="preserve">ould </w:t>
      </w:r>
      <w:r w:rsidR="00122017" w:rsidRPr="002B21B2">
        <w:t xml:space="preserve">be evaluated </w:t>
      </w:r>
      <w:r w:rsidR="001D6870">
        <w:t>via a treat-to-target approach</w:t>
      </w:r>
      <w:r w:rsidR="00122017" w:rsidRPr="002B21B2">
        <w:t>.</w:t>
      </w:r>
      <w:r w:rsidR="00122F34">
        <w:br w:type="page"/>
      </w:r>
    </w:p>
    <w:p w14:paraId="224609F6" w14:textId="4AEEE6A4" w:rsidR="00887B0E" w:rsidRPr="00810021" w:rsidRDefault="00887B0E">
      <w:pPr>
        <w:rPr>
          <w:rFonts w:asciiTheme="majorHAnsi" w:eastAsiaTheme="majorEastAsia" w:hAnsiTheme="majorHAnsi" w:cstheme="majorBidi"/>
          <w:color w:val="0F4761" w:themeColor="accent1" w:themeShade="BF"/>
          <w:sz w:val="32"/>
          <w:szCs w:val="32"/>
          <w:lang w:val="de-DE"/>
        </w:rPr>
      </w:pPr>
      <w:r w:rsidRPr="00810021">
        <w:rPr>
          <w:rFonts w:asciiTheme="majorHAnsi" w:eastAsiaTheme="majorEastAsia" w:hAnsiTheme="majorHAnsi" w:cstheme="majorBidi"/>
          <w:color w:val="0F4761" w:themeColor="accent1" w:themeShade="BF"/>
          <w:sz w:val="32"/>
          <w:szCs w:val="32"/>
          <w:lang w:val="de-DE"/>
        </w:rPr>
        <w:lastRenderedPageBreak/>
        <w:t xml:space="preserve">References </w:t>
      </w:r>
      <w:r w:rsidR="00810021" w:rsidRPr="00810021">
        <w:rPr>
          <w:rFonts w:asciiTheme="majorHAnsi" w:eastAsiaTheme="majorEastAsia" w:hAnsiTheme="majorHAnsi" w:cstheme="majorBidi"/>
          <w:color w:val="0F4761" w:themeColor="accent1" w:themeShade="BF"/>
          <w:sz w:val="32"/>
          <w:szCs w:val="32"/>
          <w:lang w:val="de-DE"/>
        </w:rPr>
        <w:t>(</w:t>
      </w:r>
      <w:r w:rsidR="00810021">
        <w:rPr>
          <w:rFonts w:asciiTheme="majorHAnsi" w:eastAsiaTheme="majorEastAsia" w:hAnsiTheme="majorHAnsi" w:cstheme="majorBidi"/>
          <w:color w:val="0F4761" w:themeColor="accent1" w:themeShade="BF"/>
          <w:sz w:val="32"/>
          <w:szCs w:val="32"/>
          <w:lang w:val="de-DE"/>
        </w:rPr>
        <w:t xml:space="preserve">max </w:t>
      </w:r>
      <w:r w:rsidR="00EA497F">
        <w:rPr>
          <w:rFonts w:asciiTheme="majorHAnsi" w:eastAsiaTheme="majorEastAsia" w:hAnsiTheme="majorHAnsi" w:cstheme="majorBidi"/>
          <w:color w:val="0F4761" w:themeColor="accent1" w:themeShade="BF"/>
          <w:sz w:val="32"/>
          <w:szCs w:val="32"/>
          <w:lang w:val="de-DE"/>
        </w:rPr>
        <w:t>5)</w:t>
      </w:r>
    </w:p>
    <w:p w14:paraId="68B8FF85" w14:textId="77777777" w:rsidR="00616470" w:rsidRPr="00616470" w:rsidRDefault="001D0C63" w:rsidP="00616470">
      <w:pPr>
        <w:pStyle w:val="Bibliography"/>
        <w:rPr>
          <w:rFonts w:cs="Calibri Light"/>
        </w:rPr>
      </w:pPr>
      <w:r>
        <w:rPr>
          <w:rFonts w:asciiTheme="majorHAnsi" w:eastAsiaTheme="majorEastAsia" w:hAnsiTheme="majorHAnsi" w:cstheme="majorBidi"/>
          <w:color w:val="0F4761" w:themeColor="accent1" w:themeShade="BF"/>
          <w:szCs w:val="32"/>
        </w:rPr>
        <w:fldChar w:fldCharType="begin"/>
      </w:r>
      <w:r w:rsidRPr="001D0C63">
        <w:rPr>
          <w:rFonts w:asciiTheme="majorHAnsi" w:eastAsiaTheme="majorEastAsia" w:hAnsiTheme="majorHAnsi" w:cstheme="majorBidi"/>
          <w:color w:val="0F4761" w:themeColor="accent1" w:themeShade="BF"/>
          <w:szCs w:val="32"/>
          <w:lang w:val="de-DE"/>
        </w:rPr>
        <w:instrText xml:space="preserve"> ADDIN ZOTERO_BIBL {"uncited":[],"omitted":[],"custom":[]} CSL_BIBLIOGRAPHY </w:instrText>
      </w:r>
      <w:r>
        <w:rPr>
          <w:rFonts w:asciiTheme="majorHAnsi" w:eastAsiaTheme="majorEastAsia" w:hAnsiTheme="majorHAnsi" w:cstheme="majorBidi"/>
          <w:color w:val="0F4761" w:themeColor="accent1" w:themeShade="BF"/>
          <w:szCs w:val="32"/>
        </w:rPr>
        <w:fldChar w:fldCharType="separate"/>
      </w:r>
      <w:r w:rsidR="00616470" w:rsidRPr="00616470">
        <w:rPr>
          <w:rFonts w:cs="Calibri Light"/>
          <w:lang w:val="de-DE"/>
        </w:rPr>
        <w:t>1</w:t>
      </w:r>
      <w:r w:rsidR="00616470" w:rsidRPr="00616470">
        <w:rPr>
          <w:rFonts w:cs="Calibri Light"/>
          <w:lang w:val="de-DE"/>
        </w:rPr>
        <w:tab/>
        <w:t xml:space="preserve">Kimball AB, Okun MM, Williams DA, </w:t>
      </w:r>
      <w:r w:rsidR="00616470" w:rsidRPr="00616470">
        <w:rPr>
          <w:rFonts w:cs="Calibri Light"/>
          <w:i/>
          <w:iCs/>
          <w:lang w:val="de-DE"/>
        </w:rPr>
        <w:t>et al.</w:t>
      </w:r>
      <w:r w:rsidR="00616470" w:rsidRPr="00616470">
        <w:rPr>
          <w:rFonts w:cs="Calibri Light"/>
          <w:lang w:val="de-DE"/>
        </w:rPr>
        <w:t xml:space="preserve"> </w:t>
      </w:r>
      <w:r w:rsidR="00616470" w:rsidRPr="00616470">
        <w:rPr>
          <w:rFonts w:cs="Calibri Light"/>
        </w:rPr>
        <w:t xml:space="preserve">Two Phase 3 Trials of Adalimumab for Hidradenitis Suppurativa. </w:t>
      </w:r>
      <w:r w:rsidR="00616470" w:rsidRPr="00616470">
        <w:rPr>
          <w:rFonts w:cs="Calibri Light"/>
          <w:i/>
          <w:iCs/>
        </w:rPr>
        <w:t>N Engl J Med</w:t>
      </w:r>
      <w:r w:rsidR="00616470" w:rsidRPr="00616470">
        <w:rPr>
          <w:rFonts w:cs="Calibri Light"/>
        </w:rPr>
        <w:t xml:space="preserve"> 2016; </w:t>
      </w:r>
      <w:r w:rsidR="00616470" w:rsidRPr="00616470">
        <w:rPr>
          <w:rFonts w:cs="Calibri Light"/>
          <w:b/>
          <w:bCs/>
        </w:rPr>
        <w:t>375</w:t>
      </w:r>
      <w:r w:rsidR="00616470" w:rsidRPr="00616470">
        <w:rPr>
          <w:rFonts w:cs="Calibri Light"/>
        </w:rPr>
        <w:t>:422–34.</w:t>
      </w:r>
    </w:p>
    <w:p w14:paraId="1C2F8E26" w14:textId="77777777" w:rsidR="00616470" w:rsidRPr="00616470" w:rsidRDefault="00616470" w:rsidP="00616470">
      <w:pPr>
        <w:pStyle w:val="Bibliography"/>
        <w:rPr>
          <w:rFonts w:cs="Calibri Light"/>
        </w:rPr>
      </w:pPr>
      <w:r w:rsidRPr="00616470">
        <w:rPr>
          <w:rFonts w:cs="Calibri Light"/>
          <w:lang w:val="fr-FR"/>
        </w:rPr>
        <w:t>2</w:t>
      </w:r>
      <w:r w:rsidRPr="00616470">
        <w:rPr>
          <w:rFonts w:cs="Calibri Light"/>
          <w:lang w:val="fr-FR"/>
        </w:rPr>
        <w:tab/>
        <w:t xml:space="preserve">Moran GW, Gordon M, Sinopoulou V, </w:t>
      </w:r>
      <w:r w:rsidRPr="00616470">
        <w:rPr>
          <w:rFonts w:cs="Calibri Light"/>
          <w:i/>
          <w:iCs/>
          <w:lang w:val="fr-FR"/>
        </w:rPr>
        <w:t>et al.</w:t>
      </w:r>
      <w:r w:rsidRPr="00616470">
        <w:rPr>
          <w:rFonts w:cs="Calibri Light"/>
          <w:lang w:val="fr-FR"/>
        </w:rPr>
        <w:t xml:space="preserve"> </w:t>
      </w:r>
      <w:r w:rsidRPr="00616470">
        <w:rPr>
          <w:rFonts w:cs="Calibri Light"/>
        </w:rPr>
        <w:t>British Society of Gastroenterology guidelines on inflammatory bowel disease in adults: 2025. 2025. doi:10.1136/gutjnl-2024-334395.</w:t>
      </w:r>
    </w:p>
    <w:p w14:paraId="676D12CE" w14:textId="77777777" w:rsidR="00616470" w:rsidRPr="00616470" w:rsidRDefault="00616470" w:rsidP="00616470">
      <w:pPr>
        <w:pStyle w:val="Bibliography"/>
        <w:rPr>
          <w:rFonts w:cs="Calibri Light"/>
          <w:lang w:val="nl-NL"/>
        </w:rPr>
      </w:pPr>
      <w:r w:rsidRPr="00616470">
        <w:rPr>
          <w:rFonts w:cs="Calibri Light"/>
        </w:rPr>
        <w:t>3</w:t>
      </w:r>
      <w:r w:rsidRPr="00616470">
        <w:rPr>
          <w:rFonts w:cs="Calibri Light"/>
        </w:rPr>
        <w:tab/>
        <w:t xml:space="preserve">Chanchlani N, Lin S, Bewshea C, </w:t>
      </w:r>
      <w:r w:rsidRPr="00616470">
        <w:rPr>
          <w:rFonts w:cs="Calibri Light"/>
          <w:i/>
          <w:iCs/>
        </w:rPr>
        <w:t>et al.</w:t>
      </w:r>
      <w:r w:rsidRPr="00616470">
        <w:rPr>
          <w:rFonts w:cs="Calibri Light"/>
        </w:rPr>
        <w:t xml:space="preserve"> Mechanisms and management of loss of response to anti-TNF therapy for patients with Crohn’s disease: 3-year data from the prospective, multicentre PANTS cohort study. </w:t>
      </w:r>
      <w:r w:rsidRPr="00616470">
        <w:rPr>
          <w:rFonts w:cs="Calibri Light"/>
          <w:i/>
          <w:iCs/>
          <w:lang w:val="nl-NL"/>
        </w:rPr>
        <w:t>The Lancet Gastroenterology &amp; Hepatology</w:t>
      </w:r>
      <w:r w:rsidRPr="00616470">
        <w:rPr>
          <w:rFonts w:cs="Calibri Light"/>
          <w:lang w:val="nl-NL"/>
        </w:rPr>
        <w:t xml:space="preserve"> 2024; </w:t>
      </w:r>
      <w:r w:rsidRPr="00616470">
        <w:rPr>
          <w:rFonts w:cs="Calibri Light"/>
          <w:b/>
          <w:bCs/>
          <w:lang w:val="nl-NL"/>
        </w:rPr>
        <w:t>9</w:t>
      </w:r>
      <w:r w:rsidRPr="00616470">
        <w:rPr>
          <w:rFonts w:cs="Calibri Light"/>
          <w:lang w:val="nl-NL"/>
        </w:rPr>
        <w:t>:521–38.</w:t>
      </w:r>
    </w:p>
    <w:p w14:paraId="5E776238" w14:textId="77777777" w:rsidR="00616470" w:rsidRPr="00616470" w:rsidRDefault="00616470" w:rsidP="00616470">
      <w:pPr>
        <w:pStyle w:val="Bibliography"/>
        <w:rPr>
          <w:rFonts w:cs="Calibri Light"/>
        </w:rPr>
      </w:pPr>
      <w:r w:rsidRPr="00616470">
        <w:rPr>
          <w:rFonts w:cs="Calibri Light"/>
          <w:lang w:val="nl-NL"/>
        </w:rPr>
        <w:t>4</w:t>
      </w:r>
      <w:r w:rsidRPr="00616470">
        <w:rPr>
          <w:rFonts w:cs="Calibri Light"/>
          <w:lang w:val="nl-NL"/>
        </w:rPr>
        <w:tab/>
        <w:t xml:space="preserve">Krieckaert CL, Tubergen A van, Gehin JE, </w:t>
      </w:r>
      <w:r w:rsidRPr="00616470">
        <w:rPr>
          <w:rFonts w:cs="Calibri Light"/>
          <w:i/>
          <w:iCs/>
          <w:lang w:val="nl-NL"/>
        </w:rPr>
        <w:t>et al.</w:t>
      </w:r>
      <w:r w:rsidRPr="00616470">
        <w:rPr>
          <w:rFonts w:cs="Calibri Light"/>
          <w:lang w:val="nl-NL"/>
        </w:rPr>
        <w:t xml:space="preserve"> </w:t>
      </w:r>
      <w:r w:rsidRPr="00616470">
        <w:rPr>
          <w:rFonts w:cs="Calibri Light"/>
        </w:rPr>
        <w:t>EULAR points to consider for therapeutic drug monitoring of biopharmaceuticals in inflammatory rheumatic and musculoskeletal diseases. 2023. doi:10.1136/annrheumdis-2022-222155.</w:t>
      </w:r>
    </w:p>
    <w:p w14:paraId="24FFE213" w14:textId="77777777" w:rsidR="00616470" w:rsidRPr="00616470" w:rsidRDefault="00616470" w:rsidP="00616470">
      <w:pPr>
        <w:pStyle w:val="Bibliography"/>
        <w:rPr>
          <w:rFonts w:cs="Calibri Light"/>
        </w:rPr>
      </w:pPr>
      <w:r w:rsidRPr="00616470">
        <w:rPr>
          <w:rFonts w:cs="Calibri Light"/>
        </w:rPr>
        <w:t>5</w:t>
      </w:r>
      <w:r w:rsidRPr="00616470">
        <w:rPr>
          <w:rFonts w:cs="Calibri Light"/>
        </w:rPr>
        <w:tab/>
        <w:t xml:space="preserve">Jones L, Sun J, Kennedy H. Efficacy of High Dose Adalimumab for the Management of Hidradenitis Suppurativa: A Systematic Review. </w:t>
      </w:r>
      <w:r w:rsidRPr="00616470">
        <w:rPr>
          <w:rFonts w:cs="Calibri Light"/>
          <w:i/>
          <w:iCs/>
        </w:rPr>
        <w:t>Australas J Dermatol</w:t>
      </w:r>
      <w:r w:rsidRPr="00616470">
        <w:rPr>
          <w:rFonts w:cs="Calibri Light"/>
        </w:rPr>
        <w:t xml:space="preserve"> 2025; </w:t>
      </w:r>
      <w:r w:rsidRPr="00616470">
        <w:rPr>
          <w:rFonts w:cs="Calibri Light"/>
          <w:b/>
          <w:bCs/>
        </w:rPr>
        <w:t>66</w:t>
      </w:r>
      <w:r w:rsidRPr="00616470">
        <w:rPr>
          <w:rFonts w:cs="Calibri Light"/>
        </w:rPr>
        <w:t>:e197–201.</w:t>
      </w:r>
    </w:p>
    <w:p w14:paraId="76B9AE16" w14:textId="77777777" w:rsidR="00337021" w:rsidRDefault="001D0C63" w:rsidP="00337021">
      <w:pPr>
        <w:pStyle w:val="Heading2"/>
      </w:pPr>
      <w:r>
        <w:fldChar w:fldCharType="end"/>
      </w:r>
    </w:p>
    <w:p w14:paraId="13668E71" w14:textId="226423AF" w:rsidR="00887B0E" w:rsidRDefault="00337021" w:rsidP="00337021">
      <w:pPr>
        <w:pStyle w:val="Heading2"/>
      </w:pPr>
      <w:r>
        <w:t>Figure legends</w:t>
      </w:r>
    </w:p>
    <w:p w14:paraId="23C3091B" w14:textId="77777777" w:rsidR="00337021" w:rsidRDefault="00337021" w:rsidP="00337021">
      <w:pPr>
        <w:pStyle w:val="Heading3"/>
      </w:pPr>
      <w:r>
        <w:t xml:space="preserve">Figure 1: Clinical outcomes at baseline versus 3 months </w:t>
      </w:r>
    </w:p>
    <w:p w14:paraId="641C10F2" w14:textId="77777777" w:rsidR="00337021" w:rsidRDefault="00337021" w:rsidP="001D0C63">
      <w:pPr>
        <w:rPr>
          <w:rFonts w:asciiTheme="majorHAnsi" w:eastAsiaTheme="majorEastAsia" w:hAnsiTheme="majorHAnsi" w:cstheme="majorBidi"/>
          <w:color w:val="0F4761" w:themeColor="accent1" w:themeShade="BF"/>
          <w:szCs w:val="32"/>
        </w:rPr>
      </w:pPr>
    </w:p>
    <w:p w14:paraId="5D49D11B" w14:textId="77777777" w:rsidR="00150DF7" w:rsidRDefault="00150DF7">
      <w:pPr>
        <w:rPr>
          <w:rFonts w:asciiTheme="majorHAnsi" w:eastAsiaTheme="majorEastAsia" w:hAnsiTheme="majorHAnsi" w:cstheme="majorBidi"/>
          <w:color w:val="0F4761" w:themeColor="accent1" w:themeShade="BF"/>
          <w:sz w:val="32"/>
          <w:szCs w:val="32"/>
        </w:rPr>
      </w:pPr>
      <w:r>
        <w:rPr>
          <w:rFonts w:asciiTheme="majorHAnsi" w:eastAsiaTheme="majorEastAsia" w:hAnsiTheme="majorHAnsi" w:cstheme="majorBidi"/>
          <w:color w:val="0F4761" w:themeColor="accent1" w:themeShade="BF"/>
          <w:sz w:val="32"/>
          <w:szCs w:val="32"/>
        </w:rPr>
        <w:br w:type="page"/>
      </w:r>
    </w:p>
    <w:p w14:paraId="72F91F9D" w14:textId="1D5A969F" w:rsidR="00FA4630" w:rsidRDefault="009A2C39">
      <w:pPr>
        <w:rPr>
          <w:rFonts w:asciiTheme="majorHAnsi" w:eastAsiaTheme="majorEastAsia" w:hAnsiTheme="majorHAnsi" w:cstheme="majorBidi"/>
          <w:color w:val="0F4761" w:themeColor="accent1" w:themeShade="BF"/>
          <w:sz w:val="32"/>
          <w:szCs w:val="32"/>
        </w:rPr>
      </w:pPr>
      <w:r>
        <w:rPr>
          <w:rFonts w:asciiTheme="majorHAnsi" w:eastAsiaTheme="majorEastAsia" w:hAnsiTheme="majorHAnsi" w:cstheme="majorBidi"/>
          <w:color w:val="0F4761" w:themeColor="accent1" w:themeShade="BF"/>
          <w:sz w:val="32"/>
          <w:szCs w:val="32"/>
        </w:rPr>
        <w:lastRenderedPageBreak/>
        <w:t xml:space="preserve">Tables </w:t>
      </w:r>
    </w:p>
    <w:tbl>
      <w:tblPr>
        <w:tblStyle w:val="GridTable5Dark-Accent1"/>
        <w:tblW w:w="0" w:type="auto"/>
        <w:tblLook w:val="04A0" w:firstRow="1" w:lastRow="0" w:firstColumn="1" w:lastColumn="0" w:noHBand="0" w:noVBand="1"/>
      </w:tblPr>
      <w:tblGrid>
        <w:gridCol w:w="3114"/>
        <w:gridCol w:w="4046"/>
        <w:gridCol w:w="3296"/>
      </w:tblGrid>
      <w:tr w:rsidR="00122F34" w:rsidRPr="00150DF7" w14:paraId="05504E2A" w14:textId="32AB57D6" w:rsidTr="00AE12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tcPr>
          <w:p w14:paraId="5CA598EB" w14:textId="77777777" w:rsidR="00122F34" w:rsidRPr="00150DF7" w:rsidRDefault="00122F34" w:rsidP="00150DF7">
            <w:pPr>
              <w:rPr>
                <w:sz w:val="22"/>
                <w:szCs w:val="22"/>
              </w:rPr>
            </w:pPr>
          </w:p>
        </w:tc>
        <w:tc>
          <w:tcPr>
            <w:tcW w:w="4046" w:type="dxa"/>
          </w:tcPr>
          <w:p w14:paraId="57E84949" w14:textId="77777777" w:rsidR="00122F34" w:rsidRPr="00150DF7" w:rsidRDefault="00122F34" w:rsidP="00150DF7">
            <w:pPr>
              <w:cnfStyle w:val="100000000000" w:firstRow="1" w:lastRow="0" w:firstColumn="0" w:lastColumn="0" w:oddVBand="0" w:evenVBand="0" w:oddHBand="0" w:evenHBand="0" w:firstRowFirstColumn="0" w:firstRowLastColumn="0" w:lastRowFirstColumn="0" w:lastRowLastColumn="0"/>
              <w:rPr>
                <w:sz w:val="22"/>
                <w:szCs w:val="22"/>
              </w:rPr>
            </w:pPr>
          </w:p>
        </w:tc>
        <w:tc>
          <w:tcPr>
            <w:tcW w:w="3296" w:type="dxa"/>
          </w:tcPr>
          <w:p w14:paraId="72558860" w14:textId="1CCDCEDF" w:rsidR="00122F34" w:rsidRPr="00150DF7" w:rsidRDefault="001B18A6" w:rsidP="00150DF7">
            <w:pPr>
              <w:jc w:val="center"/>
              <w:cnfStyle w:val="100000000000" w:firstRow="1" w:lastRow="0" w:firstColumn="0" w:lastColumn="0" w:oddVBand="0" w:evenVBand="0" w:oddHBand="0" w:evenHBand="0" w:firstRowFirstColumn="0" w:firstRowLastColumn="0" w:lastRowFirstColumn="0" w:lastRowLastColumn="0"/>
              <w:rPr>
                <w:sz w:val="22"/>
                <w:szCs w:val="22"/>
              </w:rPr>
            </w:pPr>
            <w:r w:rsidRPr="00150DF7">
              <w:rPr>
                <w:sz w:val="22"/>
                <w:szCs w:val="22"/>
              </w:rPr>
              <w:t>N=42</w:t>
            </w:r>
            <w:r w:rsidR="003C0500" w:rsidRPr="00150DF7">
              <w:rPr>
                <w:sz w:val="22"/>
                <w:szCs w:val="22"/>
              </w:rPr>
              <w:t xml:space="preserve"> (%)</w:t>
            </w:r>
          </w:p>
        </w:tc>
      </w:tr>
      <w:tr w:rsidR="00064A29" w:rsidRPr="00150DF7" w14:paraId="32CDA53B" w14:textId="565DD0B2"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74D35029" w14:textId="21FEE869" w:rsidR="00064A29" w:rsidRPr="00150DF7" w:rsidRDefault="00064A29" w:rsidP="00150DF7">
            <w:pPr>
              <w:rPr>
                <w:sz w:val="22"/>
                <w:szCs w:val="22"/>
              </w:rPr>
            </w:pPr>
            <w:r w:rsidRPr="00150DF7">
              <w:rPr>
                <w:sz w:val="22"/>
                <w:szCs w:val="22"/>
              </w:rPr>
              <w:t xml:space="preserve">Age </w:t>
            </w:r>
          </w:p>
        </w:tc>
        <w:tc>
          <w:tcPr>
            <w:tcW w:w="4046" w:type="dxa"/>
            <w:shd w:val="clear" w:color="auto" w:fill="156082" w:themeFill="accent1"/>
          </w:tcPr>
          <w:p w14:paraId="69B729DB" w14:textId="1B5F4CA5" w:rsidR="00064A29" w:rsidRPr="00150DF7" w:rsidRDefault="00064A29"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19-29</w:t>
            </w:r>
          </w:p>
        </w:tc>
        <w:tc>
          <w:tcPr>
            <w:tcW w:w="3296" w:type="dxa"/>
          </w:tcPr>
          <w:p w14:paraId="681C2663" w14:textId="18E0DB71" w:rsidR="00064A29" w:rsidRPr="00150DF7" w:rsidRDefault="00064A29"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12 (28.6)</w:t>
            </w:r>
          </w:p>
        </w:tc>
      </w:tr>
      <w:tr w:rsidR="00064A29" w:rsidRPr="00150DF7" w14:paraId="617730C8"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25F302E7" w14:textId="77777777" w:rsidR="00064A29" w:rsidRPr="00150DF7" w:rsidRDefault="00064A29" w:rsidP="00150DF7">
            <w:pPr>
              <w:rPr>
                <w:sz w:val="22"/>
                <w:szCs w:val="22"/>
              </w:rPr>
            </w:pPr>
          </w:p>
        </w:tc>
        <w:tc>
          <w:tcPr>
            <w:tcW w:w="4046" w:type="dxa"/>
            <w:shd w:val="clear" w:color="auto" w:fill="156082" w:themeFill="accent1"/>
          </w:tcPr>
          <w:p w14:paraId="76C33174" w14:textId="57DA25F6" w:rsidR="00064A29" w:rsidRPr="00150DF7" w:rsidRDefault="00064A29"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30-39</w:t>
            </w:r>
          </w:p>
        </w:tc>
        <w:tc>
          <w:tcPr>
            <w:tcW w:w="3296" w:type="dxa"/>
          </w:tcPr>
          <w:p w14:paraId="394D31AB" w14:textId="28860E4F" w:rsidR="00064A29" w:rsidRPr="00150DF7" w:rsidRDefault="00064A29"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16 (38.1)</w:t>
            </w:r>
          </w:p>
        </w:tc>
      </w:tr>
      <w:tr w:rsidR="00064A29" w:rsidRPr="00150DF7" w14:paraId="3E84B817"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7009324F" w14:textId="77777777" w:rsidR="00064A29" w:rsidRPr="00150DF7" w:rsidRDefault="00064A29" w:rsidP="00150DF7">
            <w:pPr>
              <w:rPr>
                <w:sz w:val="22"/>
                <w:szCs w:val="22"/>
              </w:rPr>
            </w:pPr>
          </w:p>
        </w:tc>
        <w:tc>
          <w:tcPr>
            <w:tcW w:w="4046" w:type="dxa"/>
            <w:shd w:val="clear" w:color="auto" w:fill="156082" w:themeFill="accent1"/>
          </w:tcPr>
          <w:p w14:paraId="2BDBF271" w14:textId="3D2147EC" w:rsidR="00064A29" w:rsidRPr="00150DF7" w:rsidRDefault="00064A29"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40-49</w:t>
            </w:r>
          </w:p>
        </w:tc>
        <w:tc>
          <w:tcPr>
            <w:tcW w:w="3296" w:type="dxa"/>
          </w:tcPr>
          <w:p w14:paraId="2FF0A8B3" w14:textId="593A6288" w:rsidR="00064A29" w:rsidRPr="00150DF7" w:rsidRDefault="00064A29"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7 (16.7)</w:t>
            </w:r>
          </w:p>
        </w:tc>
      </w:tr>
      <w:tr w:rsidR="00064A29" w:rsidRPr="00150DF7" w14:paraId="07459150"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073576D0" w14:textId="77777777" w:rsidR="00064A29" w:rsidRPr="00150DF7" w:rsidRDefault="00064A29" w:rsidP="00150DF7">
            <w:pPr>
              <w:rPr>
                <w:sz w:val="22"/>
                <w:szCs w:val="22"/>
              </w:rPr>
            </w:pPr>
          </w:p>
        </w:tc>
        <w:tc>
          <w:tcPr>
            <w:tcW w:w="4046" w:type="dxa"/>
            <w:shd w:val="clear" w:color="auto" w:fill="156082" w:themeFill="accent1"/>
          </w:tcPr>
          <w:p w14:paraId="291BAB82" w14:textId="295B6291" w:rsidR="00064A29" w:rsidRPr="00150DF7" w:rsidRDefault="00064A29"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50-64 </w:t>
            </w:r>
          </w:p>
        </w:tc>
        <w:tc>
          <w:tcPr>
            <w:tcW w:w="3296" w:type="dxa"/>
          </w:tcPr>
          <w:p w14:paraId="258F5892" w14:textId="697AA154" w:rsidR="00064A29" w:rsidRPr="00150DF7" w:rsidRDefault="00064A29"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7 (16.7)</w:t>
            </w:r>
          </w:p>
        </w:tc>
      </w:tr>
      <w:tr w:rsidR="00064A29" w:rsidRPr="00150DF7" w14:paraId="4DF1D5F6" w14:textId="1AF9891F"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164886C7" w14:textId="28005E49" w:rsidR="00064A29" w:rsidRPr="00150DF7" w:rsidRDefault="00064A29" w:rsidP="00150DF7">
            <w:pPr>
              <w:rPr>
                <w:sz w:val="22"/>
                <w:szCs w:val="22"/>
              </w:rPr>
            </w:pPr>
            <w:r w:rsidRPr="00150DF7">
              <w:rPr>
                <w:sz w:val="22"/>
                <w:szCs w:val="22"/>
              </w:rPr>
              <w:t xml:space="preserve">Gender </w:t>
            </w:r>
          </w:p>
        </w:tc>
        <w:tc>
          <w:tcPr>
            <w:tcW w:w="4046" w:type="dxa"/>
            <w:shd w:val="clear" w:color="auto" w:fill="156082" w:themeFill="accent1"/>
          </w:tcPr>
          <w:p w14:paraId="77673890" w14:textId="45938B24" w:rsidR="00064A29" w:rsidRPr="00150DF7" w:rsidRDefault="00064A29"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Male</w:t>
            </w:r>
          </w:p>
        </w:tc>
        <w:tc>
          <w:tcPr>
            <w:tcW w:w="3296" w:type="dxa"/>
          </w:tcPr>
          <w:p w14:paraId="720E25FA" w14:textId="19D5ED05" w:rsidR="00064A29" w:rsidRPr="00150DF7" w:rsidRDefault="00064A29"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21 (50.0)</w:t>
            </w:r>
          </w:p>
        </w:tc>
      </w:tr>
      <w:tr w:rsidR="00064A29" w:rsidRPr="00150DF7" w14:paraId="4BC97911"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461A62E1" w14:textId="77777777" w:rsidR="00064A29" w:rsidRPr="00150DF7" w:rsidRDefault="00064A29" w:rsidP="00150DF7">
            <w:pPr>
              <w:rPr>
                <w:sz w:val="22"/>
                <w:szCs w:val="22"/>
              </w:rPr>
            </w:pPr>
          </w:p>
        </w:tc>
        <w:tc>
          <w:tcPr>
            <w:tcW w:w="4046" w:type="dxa"/>
            <w:shd w:val="clear" w:color="auto" w:fill="156082" w:themeFill="accent1"/>
          </w:tcPr>
          <w:p w14:paraId="7D501E9C" w14:textId="45853094" w:rsidR="00064A29" w:rsidRPr="00150DF7" w:rsidRDefault="00064A29"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Female </w:t>
            </w:r>
          </w:p>
        </w:tc>
        <w:tc>
          <w:tcPr>
            <w:tcW w:w="3296" w:type="dxa"/>
          </w:tcPr>
          <w:p w14:paraId="05B354D1" w14:textId="7B1F3DDA" w:rsidR="00064A29" w:rsidRPr="00150DF7" w:rsidRDefault="00064A29"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21 (50.0)</w:t>
            </w:r>
          </w:p>
        </w:tc>
      </w:tr>
      <w:tr w:rsidR="00064A29" w:rsidRPr="00150DF7" w14:paraId="794C80EC" w14:textId="23D3DF1C"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51AA1CB3" w14:textId="15564367" w:rsidR="00064A29" w:rsidRPr="00150DF7" w:rsidRDefault="00064A29" w:rsidP="00150DF7">
            <w:pPr>
              <w:rPr>
                <w:sz w:val="22"/>
                <w:szCs w:val="22"/>
              </w:rPr>
            </w:pPr>
            <w:r w:rsidRPr="00150DF7">
              <w:rPr>
                <w:sz w:val="22"/>
                <w:szCs w:val="22"/>
              </w:rPr>
              <w:t xml:space="preserve">Ethnicity </w:t>
            </w:r>
          </w:p>
        </w:tc>
        <w:tc>
          <w:tcPr>
            <w:tcW w:w="4046" w:type="dxa"/>
            <w:shd w:val="clear" w:color="auto" w:fill="156082" w:themeFill="accent1"/>
          </w:tcPr>
          <w:p w14:paraId="061BF32C" w14:textId="6806B4CA" w:rsidR="00064A29" w:rsidRPr="00150DF7" w:rsidRDefault="00064A29"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White </w:t>
            </w:r>
          </w:p>
        </w:tc>
        <w:tc>
          <w:tcPr>
            <w:tcW w:w="3296" w:type="dxa"/>
          </w:tcPr>
          <w:p w14:paraId="1222EF3F" w14:textId="43B6F366" w:rsidR="00064A29" w:rsidRPr="00150DF7" w:rsidRDefault="00064A29"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22</w:t>
            </w:r>
            <w:r w:rsidR="00614AA3" w:rsidRPr="00150DF7">
              <w:rPr>
                <w:sz w:val="22"/>
                <w:szCs w:val="22"/>
              </w:rPr>
              <w:t xml:space="preserve"> (52.4)</w:t>
            </w:r>
          </w:p>
        </w:tc>
      </w:tr>
      <w:tr w:rsidR="00064A29" w:rsidRPr="00150DF7" w14:paraId="0A05FAB2"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798E8658" w14:textId="77777777" w:rsidR="00064A29" w:rsidRPr="00150DF7" w:rsidRDefault="00064A29" w:rsidP="00150DF7">
            <w:pPr>
              <w:rPr>
                <w:sz w:val="22"/>
                <w:szCs w:val="22"/>
              </w:rPr>
            </w:pPr>
          </w:p>
        </w:tc>
        <w:tc>
          <w:tcPr>
            <w:tcW w:w="4046" w:type="dxa"/>
            <w:shd w:val="clear" w:color="auto" w:fill="156082" w:themeFill="accent1"/>
          </w:tcPr>
          <w:p w14:paraId="6BC4D3C1" w14:textId="04C67E8F" w:rsidR="00064A29" w:rsidRPr="00150DF7" w:rsidRDefault="00064A29"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Mixed </w:t>
            </w:r>
          </w:p>
        </w:tc>
        <w:tc>
          <w:tcPr>
            <w:tcW w:w="3296" w:type="dxa"/>
          </w:tcPr>
          <w:p w14:paraId="78FC81A1" w14:textId="5EB37F57" w:rsidR="00064A29" w:rsidRPr="00150DF7" w:rsidRDefault="00064A29"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2</w:t>
            </w:r>
            <w:r w:rsidR="00614AA3" w:rsidRPr="00150DF7">
              <w:rPr>
                <w:sz w:val="22"/>
                <w:szCs w:val="22"/>
              </w:rPr>
              <w:t xml:space="preserve"> </w:t>
            </w:r>
            <w:r w:rsidR="00BE221D" w:rsidRPr="00150DF7">
              <w:rPr>
                <w:sz w:val="22"/>
                <w:szCs w:val="22"/>
              </w:rPr>
              <w:t>(4.8)</w:t>
            </w:r>
          </w:p>
        </w:tc>
      </w:tr>
      <w:tr w:rsidR="00064A29" w:rsidRPr="00150DF7" w14:paraId="77D95727"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59154CA5" w14:textId="77777777" w:rsidR="00064A29" w:rsidRPr="00150DF7" w:rsidRDefault="00064A29" w:rsidP="00150DF7">
            <w:pPr>
              <w:rPr>
                <w:sz w:val="22"/>
                <w:szCs w:val="22"/>
              </w:rPr>
            </w:pPr>
          </w:p>
        </w:tc>
        <w:tc>
          <w:tcPr>
            <w:tcW w:w="4046" w:type="dxa"/>
            <w:shd w:val="clear" w:color="auto" w:fill="156082" w:themeFill="accent1"/>
          </w:tcPr>
          <w:p w14:paraId="212A30FB" w14:textId="255940EB" w:rsidR="00064A29" w:rsidRPr="00150DF7" w:rsidRDefault="00064A29"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Asian </w:t>
            </w:r>
          </w:p>
        </w:tc>
        <w:tc>
          <w:tcPr>
            <w:tcW w:w="3296" w:type="dxa"/>
          </w:tcPr>
          <w:p w14:paraId="6AA5DB42" w14:textId="48C39133" w:rsidR="00064A29" w:rsidRPr="00150DF7" w:rsidRDefault="00064A29"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10</w:t>
            </w:r>
            <w:r w:rsidR="00BE221D" w:rsidRPr="00150DF7">
              <w:rPr>
                <w:sz w:val="22"/>
                <w:szCs w:val="22"/>
              </w:rPr>
              <w:t xml:space="preserve"> (23.8)</w:t>
            </w:r>
          </w:p>
        </w:tc>
      </w:tr>
      <w:tr w:rsidR="00064A29" w:rsidRPr="00150DF7" w14:paraId="156B30F1"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13F83540" w14:textId="77777777" w:rsidR="00064A29" w:rsidRPr="00150DF7" w:rsidRDefault="00064A29" w:rsidP="00150DF7">
            <w:pPr>
              <w:rPr>
                <w:sz w:val="22"/>
                <w:szCs w:val="22"/>
              </w:rPr>
            </w:pPr>
          </w:p>
        </w:tc>
        <w:tc>
          <w:tcPr>
            <w:tcW w:w="4046" w:type="dxa"/>
            <w:shd w:val="clear" w:color="auto" w:fill="156082" w:themeFill="accent1"/>
          </w:tcPr>
          <w:p w14:paraId="341F9F95" w14:textId="20F64408" w:rsidR="00064A29" w:rsidRPr="00150DF7" w:rsidRDefault="00064A29"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Black African </w:t>
            </w:r>
          </w:p>
        </w:tc>
        <w:tc>
          <w:tcPr>
            <w:tcW w:w="3296" w:type="dxa"/>
          </w:tcPr>
          <w:p w14:paraId="3C39EDF9" w14:textId="00EE6B12" w:rsidR="00064A29" w:rsidRPr="00150DF7" w:rsidRDefault="00064A29"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5</w:t>
            </w:r>
            <w:r w:rsidR="00BE221D" w:rsidRPr="00150DF7">
              <w:rPr>
                <w:sz w:val="22"/>
                <w:szCs w:val="22"/>
              </w:rPr>
              <w:t xml:space="preserve"> (11.9)</w:t>
            </w:r>
          </w:p>
        </w:tc>
      </w:tr>
      <w:tr w:rsidR="00064A29" w:rsidRPr="00150DF7" w14:paraId="741CC45C"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1C8BB658" w14:textId="77777777" w:rsidR="00064A29" w:rsidRPr="00150DF7" w:rsidRDefault="00064A29" w:rsidP="00150DF7">
            <w:pPr>
              <w:rPr>
                <w:sz w:val="22"/>
                <w:szCs w:val="22"/>
              </w:rPr>
            </w:pPr>
          </w:p>
        </w:tc>
        <w:tc>
          <w:tcPr>
            <w:tcW w:w="4046" w:type="dxa"/>
            <w:shd w:val="clear" w:color="auto" w:fill="156082" w:themeFill="accent1"/>
          </w:tcPr>
          <w:p w14:paraId="36DF1813" w14:textId="7AEC0077" w:rsidR="00064A29" w:rsidRPr="00150DF7" w:rsidRDefault="00064A29"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Unknown </w:t>
            </w:r>
          </w:p>
        </w:tc>
        <w:tc>
          <w:tcPr>
            <w:tcW w:w="3296" w:type="dxa"/>
          </w:tcPr>
          <w:p w14:paraId="27AB5D08" w14:textId="4327C22A" w:rsidR="00064A29" w:rsidRPr="00150DF7" w:rsidRDefault="00064A29"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3</w:t>
            </w:r>
            <w:r w:rsidR="00BE221D" w:rsidRPr="00150DF7">
              <w:rPr>
                <w:sz w:val="22"/>
                <w:szCs w:val="22"/>
              </w:rPr>
              <w:t xml:space="preserve"> </w:t>
            </w:r>
            <w:r w:rsidR="003C0500" w:rsidRPr="00150DF7">
              <w:rPr>
                <w:sz w:val="22"/>
                <w:szCs w:val="22"/>
              </w:rPr>
              <w:t>(7.1)</w:t>
            </w:r>
          </w:p>
        </w:tc>
      </w:tr>
      <w:tr w:rsidR="001B20A6" w:rsidRPr="00150DF7" w14:paraId="039910E9" w14:textId="6140EE98" w:rsidTr="00AE12D4">
        <w:tc>
          <w:tcPr>
            <w:cnfStyle w:val="001000000000" w:firstRow="0" w:lastRow="0" w:firstColumn="1" w:lastColumn="0" w:oddVBand="0" w:evenVBand="0" w:oddHBand="0" w:evenHBand="0" w:firstRowFirstColumn="0" w:firstRowLastColumn="0" w:lastRowFirstColumn="0" w:lastRowLastColumn="0"/>
            <w:tcW w:w="3114" w:type="dxa"/>
            <w:vMerge w:val="restart"/>
          </w:tcPr>
          <w:p w14:paraId="48942BBC" w14:textId="014DF3FF" w:rsidR="001B20A6" w:rsidRPr="00150DF7" w:rsidRDefault="001B20A6" w:rsidP="00150DF7">
            <w:pPr>
              <w:rPr>
                <w:sz w:val="22"/>
                <w:szCs w:val="22"/>
              </w:rPr>
            </w:pPr>
            <w:r w:rsidRPr="00150DF7">
              <w:rPr>
                <w:sz w:val="22"/>
                <w:szCs w:val="22"/>
              </w:rPr>
              <w:t xml:space="preserve">Comorbidities </w:t>
            </w:r>
          </w:p>
        </w:tc>
        <w:tc>
          <w:tcPr>
            <w:tcW w:w="4046" w:type="dxa"/>
            <w:shd w:val="clear" w:color="auto" w:fill="156082" w:themeFill="accent1"/>
          </w:tcPr>
          <w:p w14:paraId="775E9C24" w14:textId="37E9FCFA" w:rsidR="001B20A6" w:rsidRPr="00150DF7" w:rsidRDefault="001B20A6"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Psoriasis</w:t>
            </w:r>
          </w:p>
        </w:tc>
        <w:tc>
          <w:tcPr>
            <w:tcW w:w="3296" w:type="dxa"/>
          </w:tcPr>
          <w:p w14:paraId="130E2B97" w14:textId="14793096" w:rsidR="001B20A6" w:rsidRPr="00150DF7" w:rsidRDefault="001B20A6"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5 (11.9)</w:t>
            </w:r>
          </w:p>
        </w:tc>
      </w:tr>
      <w:tr w:rsidR="001B20A6" w:rsidRPr="00150DF7" w14:paraId="475B76BA"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60084ECE" w14:textId="77777777" w:rsidR="001B20A6" w:rsidRPr="00150DF7" w:rsidRDefault="001B20A6" w:rsidP="00150DF7">
            <w:pPr>
              <w:rPr>
                <w:sz w:val="22"/>
                <w:szCs w:val="22"/>
              </w:rPr>
            </w:pPr>
          </w:p>
        </w:tc>
        <w:tc>
          <w:tcPr>
            <w:tcW w:w="4046" w:type="dxa"/>
            <w:shd w:val="clear" w:color="auto" w:fill="156082" w:themeFill="accent1"/>
          </w:tcPr>
          <w:p w14:paraId="39C418F1" w14:textId="1033AA08" w:rsidR="001B20A6" w:rsidRPr="00150DF7" w:rsidRDefault="00F93821"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Inflammatory bowel disease</w:t>
            </w:r>
          </w:p>
        </w:tc>
        <w:tc>
          <w:tcPr>
            <w:tcW w:w="3296" w:type="dxa"/>
          </w:tcPr>
          <w:p w14:paraId="32FDA2CE" w14:textId="144ECFC8" w:rsidR="001B20A6" w:rsidRPr="00150DF7" w:rsidRDefault="001B20A6"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 (2.4)</w:t>
            </w:r>
          </w:p>
        </w:tc>
      </w:tr>
      <w:tr w:rsidR="001B20A6" w:rsidRPr="00150DF7" w14:paraId="00EF57F0"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75E0DC4C" w14:textId="77777777" w:rsidR="001B20A6" w:rsidRPr="00150DF7" w:rsidRDefault="001B20A6" w:rsidP="00150DF7">
            <w:pPr>
              <w:rPr>
                <w:sz w:val="22"/>
                <w:szCs w:val="22"/>
              </w:rPr>
            </w:pPr>
          </w:p>
        </w:tc>
        <w:tc>
          <w:tcPr>
            <w:tcW w:w="4046" w:type="dxa"/>
            <w:shd w:val="clear" w:color="auto" w:fill="156082" w:themeFill="accent1"/>
          </w:tcPr>
          <w:p w14:paraId="4E704F36" w14:textId="7E5C7869" w:rsidR="001B20A6" w:rsidRPr="00150DF7" w:rsidRDefault="00F93821"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Type 1 diabetes mellitus</w:t>
            </w:r>
          </w:p>
        </w:tc>
        <w:tc>
          <w:tcPr>
            <w:tcW w:w="3296" w:type="dxa"/>
          </w:tcPr>
          <w:p w14:paraId="459BB158" w14:textId="6DFBC9CD" w:rsidR="001B20A6" w:rsidRPr="00150DF7" w:rsidRDefault="001B20A6"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2 (4.8)</w:t>
            </w:r>
          </w:p>
        </w:tc>
      </w:tr>
      <w:tr w:rsidR="001B20A6" w:rsidRPr="00150DF7" w14:paraId="041B9A2C"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4A1F8A7E" w14:textId="77777777" w:rsidR="001B20A6" w:rsidRPr="00150DF7" w:rsidRDefault="001B20A6" w:rsidP="00150DF7">
            <w:pPr>
              <w:rPr>
                <w:sz w:val="22"/>
                <w:szCs w:val="22"/>
              </w:rPr>
            </w:pPr>
          </w:p>
        </w:tc>
        <w:tc>
          <w:tcPr>
            <w:tcW w:w="4046" w:type="dxa"/>
            <w:shd w:val="clear" w:color="auto" w:fill="156082" w:themeFill="accent1"/>
          </w:tcPr>
          <w:p w14:paraId="3710ECAD" w14:textId="2F93DA43" w:rsidR="001B20A6" w:rsidRPr="00150DF7" w:rsidRDefault="00F93821"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Type 2 diabetes mellitus </w:t>
            </w:r>
          </w:p>
        </w:tc>
        <w:tc>
          <w:tcPr>
            <w:tcW w:w="3296" w:type="dxa"/>
          </w:tcPr>
          <w:p w14:paraId="1F5467B7" w14:textId="69AE6DAB" w:rsidR="001B20A6" w:rsidRPr="00150DF7" w:rsidRDefault="001B20A6"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7 (16.7)</w:t>
            </w:r>
          </w:p>
        </w:tc>
      </w:tr>
      <w:tr w:rsidR="001B20A6" w:rsidRPr="00150DF7" w14:paraId="3A88DE0F"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3E2EC150" w14:textId="77777777" w:rsidR="001B20A6" w:rsidRPr="00150DF7" w:rsidRDefault="001B20A6" w:rsidP="00150DF7">
            <w:pPr>
              <w:rPr>
                <w:sz w:val="22"/>
                <w:szCs w:val="22"/>
              </w:rPr>
            </w:pPr>
          </w:p>
        </w:tc>
        <w:tc>
          <w:tcPr>
            <w:tcW w:w="4046" w:type="dxa"/>
            <w:shd w:val="clear" w:color="auto" w:fill="156082" w:themeFill="accent1"/>
          </w:tcPr>
          <w:p w14:paraId="22BAF567" w14:textId="48358447" w:rsidR="001B20A6" w:rsidRPr="00150DF7" w:rsidRDefault="00F93821"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Polycystic ovarian syndrome </w:t>
            </w:r>
          </w:p>
        </w:tc>
        <w:tc>
          <w:tcPr>
            <w:tcW w:w="3296" w:type="dxa"/>
          </w:tcPr>
          <w:p w14:paraId="79653400" w14:textId="2FBC0819" w:rsidR="001B20A6" w:rsidRPr="00150DF7" w:rsidRDefault="001B20A6"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5 (11.9)</w:t>
            </w:r>
          </w:p>
        </w:tc>
      </w:tr>
      <w:tr w:rsidR="001B20A6" w:rsidRPr="00150DF7" w14:paraId="43A64E22"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622EDD18" w14:textId="77777777" w:rsidR="001B20A6" w:rsidRPr="00150DF7" w:rsidRDefault="001B20A6" w:rsidP="00150DF7">
            <w:pPr>
              <w:rPr>
                <w:sz w:val="22"/>
                <w:szCs w:val="22"/>
              </w:rPr>
            </w:pPr>
          </w:p>
        </w:tc>
        <w:tc>
          <w:tcPr>
            <w:tcW w:w="4046" w:type="dxa"/>
            <w:shd w:val="clear" w:color="auto" w:fill="156082" w:themeFill="accent1"/>
          </w:tcPr>
          <w:p w14:paraId="3AE4D230" w14:textId="067B0889" w:rsidR="001B20A6" w:rsidRPr="00150DF7" w:rsidRDefault="001B20A6"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Arthritis</w:t>
            </w:r>
          </w:p>
        </w:tc>
        <w:tc>
          <w:tcPr>
            <w:tcW w:w="3296" w:type="dxa"/>
          </w:tcPr>
          <w:p w14:paraId="77604790" w14:textId="37D98FAA" w:rsidR="001B20A6" w:rsidRPr="00150DF7" w:rsidRDefault="001B20A6"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8 (19.1)</w:t>
            </w:r>
          </w:p>
        </w:tc>
      </w:tr>
      <w:tr w:rsidR="001B20A6" w:rsidRPr="00150DF7" w14:paraId="18EFC93B"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5F9F880F" w14:textId="77777777" w:rsidR="001B20A6" w:rsidRPr="00150DF7" w:rsidRDefault="001B20A6" w:rsidP="00150DF7">
            <w:pPr>
              <w:rPr>
                <w:sz w:val="22"/>
                <w:szCs w:val="22"/>
              </w:rPr>
            </w:pPr>
          </w:p>
        </w:tc>
        <w:tc>
          <w:tcPr>
            <w:tcW w:w="4046" w:type="dxa"/>
            <w:shd w:val="clear" w:color="auto" w:fill="156082" w:themeFill="accent1"/>
          </w:tcPr>
          <w:p w14:paraId="06338749" w14:textId="1ACD8E89" w:rsidR="001B20A6" w:rsidRPr="00150DF7" w:rsidRDefault="001B20A6"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Liver disease </w:t>
            </w:r>
          </w:p>
        </w:tc>
        <w:tc>
          <w:tcPr>
            <w:tcW w:w="3296" w:type="dxa"/>
          </w:tcPr>
          <w:p w14:paraId="01D9BB36" w14:textId="0008A2DA" w:rsidR="001B20A6" w:rsidRPr="00150DF7" w:rsidRDefault="001B20A6"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5 (11.9)</w:t>
            </w:r>
          </w:p>
        </w:tc>
      </w:tr>
      <w:tr w:rsidR="001B20A6" w:rsidRPr="00150DF7" w14:paraId="4A6A84E9"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645FA08A" w14:textId="77777777" w:rsidR="001B20A6" w:rsidRPr="00150DF7" w:rsidRDefault="001B20A6" w:rsidP="00150DF7">
            <w:pPr>
              <w:rPr>
                <w:sz w:val="22"/>
                <w:szCs w:val="22"/>
              </w:rPr>
            </w:pPr>
          </w:p>
        </w:tc>
        <w:tc>
          <w:tcPr>
            <w:tcW w:w="4046" w:type="dxa"/>
            <w:shd w:val="clear" w:color="auto" w:fill="156082" w:themeFill="accent1"/>
          </w:tcPr>
          <w:p w14:paraId="439EB576" w14:textId="410103D1" w:rsidR="001B20A6" w:rsidRPr="00150DF7" w:rsidRDefault="001B20A6"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Thyroid disease</w:t>
            </w:r>
          </w:p>
        </w:tc>
        <w:tc>
          <w:tcPr>
            <w:tcW w:w="3296" w:type="dxa"/>
          </w:tcPr>
          <w:p w14:paraId="3AA44151" w14:textId="7229FA92" w:rsidR="001B20A6" w:rsidRPr="00150DF7" w:rsidRDefault="001B20A6"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2 (4.8)</w:t>
            </w:r>
          </w:p>
        </w:tc>
      </w:tr>
      <w:tr w:rsidR="001B20A6" w:rsidRPr="00150DF7" w14:paraId="3C23EE47"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03E468FE" w14:textId="77777777" w:rsidR="001B20A6" w:rsidRPr="00150DF7" w:rsidRDefault="001B20A6" w:rsidP="00150DF7">
            <w:pPr>
              <w:rPr>
                <w:sz w:val="22"/>
                <w:szCs w:val="22"/>
              </w:rPr>
            </w:pPr>
          </w:p>
        </w:tc>
        <w:tc>
          <w:tcPr>
            <w:tcW w:w="4046" w:type="dxa"/>
            <w:shd w:val="clear" w:color="auto" w:fill="156082" w:themeFill="accent1"/>
          </w:tcPr>
          <w:p w14:paraId="6C9C87ED" w14:textId="04A20713" w:rsidR="001B20A6" w:rsidRPr="00150DF7" w:rsidRDefault="001B20A6"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Obesity </w:t>
            </w:r>
          </w:p>
        </w:tc>
        <w:tc>
          <w:tcPr>
            <w:tcW w:w="3296" w:type="dxa"/>
          </w:tcPr>
          <w:p w14:paraId="4C177D04" w14:textId="31E6C96E" w:rsidR="001B20A6" w:rsidRPr="00150DF7" w:rsidRDefault="001B20A6"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4 (9.5)</w:t>
            </w:r>
          </w:p>
        </w:tc>
      </w:tr>
      <w:tr w:rsidR="001B20A6" w:rsidRPr="00150DF7" w14:paraId="51BA91BD"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4B726B3E" w14:textId="77777777" w:rsidR="001B20A6" w:rsidRPr="00150DF7" w:rsidRDefault="001B20A6" w:rsidP="00150DF7">
            <w:pPr>
              <w:rPr>
                <w:sz w:val="22"/>
                <w:szCs w:val="22"/>
              </w:rPr>
            </w:pPr>
          </w:p>
        </w:tc>
        <w:tc>
          <w:tcPr>
            <w:tcW w:w="4046" w:type="dxa"/>
            <w:shd w:val="clear" w:color="auto" w:fill="156082" w:themeFill="accent1"/>
          </w:tcPr>
          <w:p w14:paraId="7F890635" w14:textId="5EB33D6F" w:rsidR="001B20A6" w:rsidRPr="00150DF7" w:rsidRDefault="001B20A6"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Depression</w:t>
            </w:r>
          </w:p>
        </w:tc>
        <w:tc>
          <w:tcPr>
            <w:tcW w:w="3296" w:type="dxa"/>
          </w:tcPr>
          <w:p w14:paraId="46C0138B" w14:textId="36D722F9" w:rsidR="001B20A6" w:rsidRPr="00150DF7" w:rsidRDefault="001B20A6"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14 (33.3)</w:t>
            </w:r>
          </w:p>
        </w:tc>
      </w:tr>
      <w:tr w:rsidR="001B20A6" w:rsidRPr="00150DF7" w14:paraId="07046286"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13585212" w14:textId="77777777" w:rsidR="001B20A6" w:rsidRPr="00150DF7" w:rsidRDefault="001B20A6" w:rsidP="00150DF7">
            <w:pPr>
              <w:rPr>
                <w:sz w:val="22"/>
                <w:szCs w:val="22"/>
              </w:rPr>
            </w:pPr>
          </w:p>
        </w:tc>
        <w:tc>
          <w:tcPr>
            <w:tcW w:w="4046" w:type="dxa"/>
            <w:shd w:val="clear" w:color="auto" w:fill="156082" w:themeFill="accent1"/>
          </w:tcPr>
          <w:p w14:paraId="3E513C01" w14:textId="4F06415C" w:rsidR="001B20A6" w:rsidRPr="00150DF7" w:rsidRDefault="001B20A6"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Hypertension</w:t>
            </w:r>
          </w:p>
        </w:tc>
        <w:tc>
          <w:tcPr>
            <w:tcW w:w="3296" w:type="dxa"/>
          </w:tcPr>
          <w:p w14:paraId="4D77C66F" w14:textId="733241B5" w:rsidR="001B20A6" w:rsidRPr="00150DF7" w:rsidRDefault="001B20A6"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4 (9.5)</w:t>
            </w:r>
          </w:p>
        </w:tc>
      </w:tr>
      <w:tr w:rsidR="000D4703" w:rsidRPr="00150DF7" w14:paraId="67E30F77" w14:textId="21AB08B0"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45E9B547" w14:textId="3EFD3AC2" w:rsidR="000D4703" w:rsidRPr="00150DF7" w:rsidRDefault="000D4703" w:rsidP="00150DF7">
            <w:pPr>
              <w:rPr>
                <w:sz w:val="22"/>
                <w:szCs w:val="22"/>
              </w:rPr>
            </w:pPr>
            <w:r w:rsidRPr="00150DF7">
              <w:rPr>
                <w:sz w:val="22"/>
                <w:szCs w:val="22"/>
              </w:rPr>
              <w:t xml:space="preserve">Affected sites </w:t>
            </w:r>
          </w:p>
        </w:tc>
        <w:tc>
          <w:tcPr>
            <w:tcW w:w="4046" w:type="dxa"/>
            <w:shd w:val="clear" w:color="auto" w:fill="156082" w:themeFill="accent1"/>
          </w:tcPr>
          <w:p w14:paraId="31DC34D1" w14:textId="35BF5908" w:rsidR="000D4703" w:rsidRPr="00150DF7" w:rsidRDefault="000D4703"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Axilla</w:t>
            </w:r>
          </w:p>
        </w:tc>
        <w:tc>
          <w:tcPr>
            <w:tcW w:w="3296" w:type="dxa"/>
          </w:tcPr>
          <w:p w14:paraId="397910B2" w14:textId="44335FA0" w:rsidR="000D4703" w:rsidRPr="00150DF7" w:rsidRDefault="00675CE8"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29 (69.0)</w:t>
            </w:r>
          </w:p>
        </w:tc>
      </w:tr>
      <w:tr w:rsidR="000D4703" w:rsidRPr="00150DF7" w14:paraId="2C5D6378"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50A9821E" w14:textId="77777777" w:rsidR="000D4703" w:rsidRPr="00150DF7" w:rsidRDefault="000D4703" w:rsidP="00150DF7">
            <w:pPr>
              <w:rPr>
                <w:sz w:val="22"/>
                <w:szCs w:val="22"/>
              </w:rPr>
            </w:pPr>
          </w:p>
        </w:tc>
        <w:tc>
          <w:tcPr>
            <w:tcW w:w="4046" w:type="dxa"/>
            <w:shd w:val="clear" w:color="auto" w:fill="156082" w:themeFill="accent1"/>
          </w:tcPr>
          <w:p w14:paraId="11F1A938" w14:textId="7E05165D" w:rsidR="000D4703" w:rsidRPr="00150DF7" w:rsidRDefault="000D4703"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Sub-mammary </w:t>
            </w:r>
          </w:p>
        </w:tc>
        <w:tc>
          <w:tcPr>
            <w:tcW w:w="3296" w:type="dxa"/>
          </w:tcPr>
          <w:p w14:paraId="7EF58788" w14:textId="291E6F36" w:rsidR="000D4703" w:rsidRPr="00150DF7" w:rsidRDefault="0049680B"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10 (23.8)</w:t>
            </w:r>
          </w:p>
        </w:tc>
      </w:tr>
      <w:tr w:rsidR="000D4703" w:rsidRPr="00150DF7" w14:paraId="510B67FD"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7845D142" w14:textId="77777777" w:rsidR="000D4703" w:rsidRPr="00150DF7" w:rsidRDefault="000D4703" w:rsidP="00150DF7">
            <w:pPr>
              <w:rPr>
                <w:sz w:val="22"/>
                <w:szCs w:val="22"/>
              </w:rPr>
            </w:pPr>
          </w:p>
        </w:tc>
        <w:tc>
          <w:tcPr>
            <w:tcW w:w="4046" w:type="dxa"/>
            <w:shd w:val="clear" w:color="auto" w:fill="156082" w:themeFill="accent1"/>
          </w:tcPr>
          <w:p w14:paraId="2979D693" w14:textId="47584736" w:rsidR="000D4703" w:rsidRPr="00150DF7" w:rsidRDefault="000D4703"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Groin</w:t>
            </w:r>
          </w:p>
        </w:tc>
        <w:tc>
          <w:tcPr>
            <w:tcW w:w="3296" w:type="dxa"/>
          </w:tcPr>
          <w:p w14:paraId="42299A25" w14:textId="08501910" w:rsidR="000D4703" w:rsidRPr="00150DF7" w:rsidRDefault="0049680B"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34 (81.0)</w:t>
            </w:r>
          </w:p>
        </w:tc>
      </w:tr>
      <w:tr w:rsidR="000D4703" w:rsidRPr="00150DF7" w14:paraId="000ACA22"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6DD023D6" w14:textId="77777777" w:rsidR="000D4703" w:rsidRPr="00150DF7" w:rsidRDefault="000D4703" w:rsidP="00150DF7">
            <w:pPr>
              <w:rPr>
                <w:sz w:val="22"/>
                <w:szCs w:val="22"/>
              </w:rPr>
            </w:pPr>
          </w:p>
        </w:tc>
        <w:tc>
          <w:tcPr>
            <w:tcW w:w="4046" w:type="dxa"/>
            <w:shd w:val="clear" w:color="auto" w:fill="156082" w:themeFill="accent1"/>
          </w:tcPr>
          <w:p w14:paraId="64FBCABE" w14:textId="029DE273" w:rsidR="000D4703" w:rsidRPr="00150DF7" w:rsidRDefault="000D4703"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Buttocks </w:t>
            </w:r>
          </w:p>
        </w:tc>
        <w:tc>
          <w:tcPr>
            <w:tcW w:w="3296" w:type="dxa"/>
          </w:tcPr>
          <w:p w14:paraId="2A9DBA8F" w14:textId="4D6097AC" w:rsidR="000D4703" w:rsidRPr="00150DF7" w:rsidRDefault="0049680B"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24 (57.1)</w:t>
            </w:r>
          </w:p>
        </w:tc>
      </w:tr>
      <w:tr w:rsidR="00AE12D4" w:rsidRPr="00150DF7" w14:paraId="780F4DBB"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2732B7AD" w14:textId="73EEB780" w:rsidR="00AE12D4" w:rsidRPr="00150DF7" w:rsidRDefault="00AE12D4" w:rsidP="00150DF7">
            <w:pPr>
              <w:rPr>
                <w:sz w:val="22"/>
                <w:szCs w:val="22"/>
              </w:rPr>
            </w:pPr>
            <w:r w:rsidRPr="00150DF7">
              <w:rPr>
                <w:sz w:val="22"/>
                <w:szCs w:val="22"/>
              </w:rPr>
              <w:t xml:space="preserve">Concomitant medications </w:t>
            </w:r>
          </w:p>
        </w:tc>
        <w:tc>
          <w:tcPr>
            <w:tcW w:w="4046" w:type="dxa"/>
            <w:shd w:val="clear" w:color="auto" w:fill="156082" w:themeFill="accent1"/>
          </w:tcPr>
          <w:p w14:paraId="5FBD41E9" w14:textId="739D6F7A" w:rsidR="00AE12D4" w:rsidRPr="00150DF7" w:rsidRDefault="00AE12D4"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Metformin</w:t>
            </w:r>
          </w:p>
        </w:tc>
        <w:tc>
          <w:tcPr>
            <w:tcW w:w="3296" w:type="dxa"/>
          </w:tcPr>
          <w:p w14:paraId="7A966E38" w14:textId="4F381016" w:rsidR="00AE12D4" w:rsidRPr="00150DF7" w:rsidRDefault="00AE12D4"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15 (35.7)</w:t>
            </w:r>
          </w:p>
        </w:tc>
      </w:tr>
      <w:tr w:rsidR="00AE12D4" w:rsidRPr="00150DF7" w14:paraId="41724CEB"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4879CF86" w14:textId="77777777" w:rsidR="00AE12D4" w:rsidRPr="00150DF7" w:rsidRDefault="00AE12D4" w:rsidP="00150DF7">
            <w:pPr>
              <w:rPr>
                <w:sz w:val="22"/>
                <w:szCs w:val="22"/>
              </w:rPr>
            </w:pPr>
          </w:p>
        </w:tc>
        <w:tc>
          <w:tcPr>
            <w:tcW w:w="4046" w:type="dxa"/>
            <w:shd w:val="clear" w:color="auto" w:fill="156082" w:themeFill="accent1"/>
          </w:tcPr>
          <w:p w14:paraId="041B323B" w14:textId="0F8E1E3E" w:rsidR="00AE12D4" w:rsidRPr="00150DF7" w:rsidRDefault="00AE12D4"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Spironolactone</w:t>
            </w:r>
          </w:p>
        </w:tc>
        <w:tc>
          <w:tcPr>
            <w:tcW w:w="3296" w:type="dxa"/>
          </w:tcPr>
          <w:p w14:paraId="2262C027" w14:textId="1E82CC90" w:rsidR="00AE12D4" w:rsidRPr="00150DF7" w:rsidRDefault="00AE12D4"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 xml:space="preserve">3 (7.1) </w:t>
            </w:r>
          </w:p>
        </w:tc>
      </w:tr>
      <w:tr w:rsidR="00AE12D4" w:rsidRPr="00150DF7" w14:paraId="2D33605A"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19E139C6" w14:textId="77777777" w:rsidR="00AE12D4" w:rsidRPr="00150DF7" w:rsidRDefault="00AE12D4" w:rsidP="00150DF7">
            <w:pPr>
              <w:rPr>
                <w:sz w:val="22"/>
                <w:szCs w:val="22"/>
              </w:rPr>
            </w:pPr>
          </w:p>
        </w:tc>
        <w:tc>
          <w:tcPr>
            <w:tcW w:w="4046" w:type="dxa"/>
            <w:shd w:val="clear" w:color="auto" w:fill="156082" w:themeFill="accent1"/>
          </w:tcPr>
          <w:p w14:paraId="70722A82" w14:textId="1F81FC0E" w:rsidR="00AE12D4" w:rsidRPr="00150DF7" w:rsidRDefault="00AE12D4"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Glucagon-Like Peptide-1 Agonist </w:t>
            </w:r>
          </w:p>
        </w:tc>
        <w:tc>
          <w:tcPr>
            <w:tcW w:w="3296" w:type="dxa"/>
          </w:tcPr>
          <w:p w14:paraId="66D5A54D" w14:textId="320BB903" w:rsidR="00AE12D4" w:rsidRPr="00150DF7" w:rsidRDefault="00AE12D4"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 (2.4)</w:t>
            </w:r>
          </w:p>
        </w:tc>
      </w:tr>
      <w:tr w:rsidR="00AE12D4" w:rsidRPr="00150DF7" w14:paraId="572B4EE3"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0FDA15AD" w14:textId="77777777" w:rsidR="00AE12D4" w:rsidRPr="00150DF7" w:rsidRDefault="00AE12D4" w:rsidP="00150DF7">
            <w:pPr>
              <w:rPr>
                <w:sz w:val="22"/>
                <w:szCs w:val="22"/>
              </w:rPr>
            </w:pPr>
          </w:p>
        </w:tc>
        <w:tc>
          <w:tcPr>
            <w:tcW w:w="4046" w:type="dxa"/>
            <w:shd w:val="clear" w:color="auto" w:fill="156082" w:themeFill="accent1"/>
          </w:tcPr>
          <w:p w14:paraId="3C7E48F7" w14:textId="202F2C40" w:rsidR="00AE12D4" w:rsidRPr="00150DF7" w:rsidRDefault="00AE12D4"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Prednisolone </w:t>
            </w:r>
          </w:p>
        </w:tc>
        <w:tc>
          <w:tcPr>
            <w:tcW w:w="3296" w:type="dxa"/>
          </w:tcPr>
          <w:p w14:paraId="53C211A2" w14:textId="1CE67101" w:rsidR="00AE12D4" w:rsidRPr="00150DF7" w:rsidRDefault="00AE12D4"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2 (4.8)</w:t>
            </w:r>
          </w:p>
        </w:tc>
      </w:tr>
      <w:tr w:rsidR="00AE12D4" w:rsidRPr="00150DF7" w14:paraId="07C4FE93"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11CE3780" w14:textId="77777777" w:rsidR="00AE12D4" w:rsidRPr="00150DF7" w:rsidRDefault="00AE12D4" w:rsidP="00150DF7">
            <w:pPr>
              <w:rPr>
                <w:sz w:val="22"/>
                <w:szCs w:val="22"/>
              </w:rPr>
            </w:pPr>
          </w:p>
        </w:tc>
        <w:tc>
          <w:tcPr>
            <w:tcW w:w="4046" w:type="dxa"/>
            <w:shd w:val="clear" w:color="auto" w:fill="156082" w:themeFill="accent1"/>
          </w:tcPr>
          <w:p w14:paraId="2F33E020" w14:textId="3DD36F7F" w:rsidR="00AE12D4" w:rsidRPr="00150DF7" w:rsidRDefault="00AE12D4"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Tetracycline antibiotics </w:t>
            </w:r>
          </w:p>
        </w:tc>
        <w:tc>
          <w:tcPr>
            <w:tcW w:w="3296" w:type="dxa"/>
          </w:tcPr>
          <w:p w14:paraId="7429EF0F" w14:textId="3C7F31DF" w:rsidR="00AE12D4" w:rsidRPr="00150DF7" w:rsidRDefault="00AE12D4"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 xml:space="preserve">7 (16.8) </w:t>
            </w:r>
          </w:p>
        </w:tc>
      </w:tr>
      <w:tr w:rsidR="00AE12D4" w:rsidRPr="00150DF7" w14:paraId="213C8E20"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066AAA06" w14:textId="77777777" w:rsidR="00AE12D4" w:rsidRPr="00150DF7" w:rsidRDefault="00AE12D4" w:rsidP="00150DF7">
            <w:pPr>
              <w:rPr>
                <w:sz w:val="22"/>
                <w:szCs w:val="22"/>
              </w:rPr>
            </w:pPr>
          </w:p>
        </w:tc>
        <w:tc>
          <w:tcPr>
            <w:tcW w:w="4046" w:type="dxa"/>
            <w:shd w:val="clear" w:color="auto" w:fill="156082" w:themeFill="accent1"/>
          </w:tcPr>
          <w:p w14:paraId="4509574F" w14:textId="36851E3B" w:rsidR="00AE12D4" w:rsidRPr="00150DF7" w:rsidRDefault="00AE12D4"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Acitretin</w:t>
            </w:r>
          </w:p>
        </w:tc>
        <w:tc>
          <w:tcPr>
            <w:tcW w:w="3296" w:type="dxa"/>
          </w:tcPr>
          <w:p w14:paraId="12675535" w14:textId="261AF822" w:rsidR="00AE12D4" w:rsidRPr="00150DF7" w:rsidRDefault="00AE12D4"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1 (2.4)</w:t>
            </w:r>
          </w:p>
        </w:tc>
      </w:tr>
      <w:tr w:rsidR="00AE12D4" w:rsidRPr="00150DF7" w14:paraId="2C3A3446"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484AA6F7" w14:textId="77777777" w:rsidR="00AE12D4" w:rsidRPr="00150DF7" w:rsidRDefault="00AE12D4" w:rsidP="00150DF7">
            <w:pPr>
              <w:rPr>
                <w:sz w:val="22"/>
                <w:szCs w:val="22"/>
              </w:rPr>
            </w:pPr>
          </w:p>
        </w:tc>
        <w:tc>
          <w:tcPr>
            <w:tcW w:w="4046" w:type="dxa"/>
            <w:shd w:val="clear" w:color="auto" w:fill="156082" w:themeFill="accent1"/>
          </w:tcPr>
          <w:p w14:paraId="72F41B62" w14:textId="2CACDDDE" w:rsidR="00AE12D4" w:rsidRPr="00150DF7" w:rsidRDefault="00AE12D4"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Dapsone</w:t>
            </w:r>
          </w:p>
        </w:tc>
        <w:tc>
          <w:tcPr>
            <w:tcW w:w="3296" w:type="dxa"/>
          </w:tcPr>
          <w:p w14:paraId="19CB6DA6" w14:textId="6C14E948" w:rsidR="00AE12D4" w:rsidRPr="00150DF7" w:rsidRDefault="00AE12D4"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 (2.4)</w:t>
            </w:r>
          </w:p>
        </w:tc>
      </w:tr>
      <w:tr w:rsidR="00AE12D4" w:rsidRPr="00150DF7" w14:paraId="37ABFD07"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46E920E0" w14:textId="77777777" w:rsidR="00AE12D4" w:rsidRPr="00150DF7" w:rsidRDefault="00AE12D4" w:rsidP="00150DF7">
            <w:pPr>
              <w:rPr>
                <w:sz w:val="22"/>
                <w:szCs w:val="22"/>
              </w:rPr>
            </w:pPr>
          </w:p>
        </w:tc>
        <w:tc>
          <w:tcPr>
            <w:tcW w:w="4046" w:type="dxa"/>
            <w:shd w:val="clear" w:color="auto" w:fill="156082" w:themeFill="accent1"/>
          </w:tcPr>
          <w:p w14:paraId="789F0EA8" w14:textId="1B9BD88E" w:rsidR="00AE12D4" w:rsidRPr="00150DF7" w:rsidRDefault="00AE12D4"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Methotrexate </w:t>
            </w:r>
          </w:p>
        </w:tc>
        <w:tc>
          <w:tcPr>
            <w:tcW w:w="3296" w:type="dxa"/>
          </w:tcPr>
          <w:p w14:paraId="090248B5" w14:textId="5B0C39B0" w:rsidR="00AE12D4" w:rsidRPr="00150DF7" w:rsidRDefault="00AE12D4"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2 (4.8)</w:t>
            </w:r>
          </w:p>
        </w:tc>
      </w:tr>
      <w:tr w:rsidR="00AE12D4" w:rsidRPr="00150DF7" w14:paraId="756599C9"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3B0383D4" w14:textId="77777777" w:rsidR="00AE12D4" w:rsidRPr="00150DF7" w:rsidRDefault="00AE12D4" w:rsidP="00150DF7">
            <w:pPr>
              <w:rPr>
                <w:sz w:val="22"/>
                <w:szCs w:val="22"/>
              </w:rPr>
            </w:pPr>
          </w:p>
        </w:tc>
        <w:tc>
          <w:tcPr>
            <w:tcW w:w="4046" w:type="dxa"/>
            <w:shd w:val="clear" w:color="auto" w:fill="156082" w:themeFill="accent1"/>
          </w:tcPr>
          <w:p w14:paraId="10E52FB7" w14:textId="66742F8C" w:rsidR="00AE12D4" w:rsidRPr="00150DF7" w:rsidRDefault="00AE12D4"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Ciclosporin</w:t>
            </w:r>
          </w:p>
        </w:tc>
        <w:tc>
          <w:tcPr>
            <w:tcW w:w="3296" w:type="dxa"/>
          </w:tcPr>
          <w:p w14:paraId="43642ED6" w14:textId="6CBAEF32" w:rsidR="00AE12D4" w:rsidRPr="00150DF7" w:rsidRDefault="00AE12D4"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 (2.4)</w:t>
            </w:r>
          </w:p>
        </w:tc>
      </w:tr>
      <w:tr w:rsidR="00AE12D4" w:rsidRPr="00150DF7" w14:paraId="3610F800"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4A4C514C" w14:textId="77777777" w:rsidR="00AE12D4" w:rsidRPr="00150DF7" w:rsidRDefault="00AE12D4" w:rsidP="00150DF7">
            <w:pPr>
              <w:rPr>
                <w:sz w:val="22"/>
                <w:szCs w:val="22"/>
              </w:rPr>
            </w:pPr>
          </w:p>
        </w:tc>
        <w:tc>
          <w:tcPr>
            <w:tcW w:w="4046" w:type="dxa"/>
            <w:shd w:val="clear" w:color="auto" w:fill="156082" w:themeFill="accent1"/>
          </w:tcPr>
          <w:p w14:paraId="6CD79B89" w14:textId="375E2581" w:rsidR="00AE12D4" w:rsidRPr="00150DF7" w:rsidRDefault="00AE12D4"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Azathioprine</w:t>
            </w:r>
          </w:p>
        </w:tc>
        <w:tc>
          <w:tcPr>
            <w:tcW w:w="3296" w:type="dxa"/>
          </w:tcPr>
          <w:p w14:paraId="2676C930" w14:textId="56473C10" w:rsidR="00AE12D4" w:rsidRPr="00150DF7" w:rsidRDefault="00AE12D4"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1 (2.4)</w:t>
            </w:r>
          </w:p>
        </w:tc>
      </w:tr>
      <w:tr w:rsidR="00AE12D4" w:rsidRPr="00150DF7" w14:paraId="6E49236E"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5358E834" w14:textId="77777777" w:rsidR="00AE12D4" w:rsidRPr="00150DF7" w:rsidRDefault="00AE12D4" w:rsidP="00150DF7">
            <w:pPr>
              <w:rPr>
                <w:sz w:val="22"/>
                <w:szCs w:val="22"/>
              </w:rPr>
            </w:pPr>
          </w:p>
        </w:tc>
        <w:tc>
          <w:tcPr>
            <w:tcW w:w="4046" w:type="dxa"/>
            <w:shd w:val="clear" w:color="auto" w:fill="156082" w:themeFill="accent1"/>
          </w:tcPr>
          <w:p w14:paraId="14D0EADC" w14:textId="2A82F2B5" w:rsidR="00AE12D4" w:rsidRPr="00150DF7" w:rsidRDefault="00AE12D4"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Other antibiotics </w:t>
            </w:r>
          </w:p>
        </w:tc>
        <w:tc>
          <w:tcPr>
            <w:tcW w:w="3296" w:type="dxa"/>
          </w:tcPr>
          <w:p w14:paraId="2DCEB6D7" w14:textId="335DB1AA" w:rsidR="00AE12D4" w:rsidRPr="00150DF7" w:rsidRDefault="00AE12D4"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5 (12.0)</w:t>
            </w:r>
          </w:p>
        </w:tc>
      </w:tr>
      <w:tr w:rsidR="00D26625" w:rsidRPr="00150DF7" w14:paraId="43667AFC"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val="restart"/>
          </w:tcPr>
          <w:p w14:paraId="46B816E7" w14:textId="7EB572EE" w:rsidR="00D26625" w:rsidRPr="00150DF7" w:rsidRDefault="00D26625" w:rsidP="00150DF7">
            <w:pPr>
              <w:rPr>
                <w:sz w:val="22"/>
                <w:szCs w:val="22"/>
              </w:rPr>
            </w:pPr>
            <w:r w:rsidRPr="00150DF7">
              <w:rPr>
                <w:sz w:val="22"/>
                <w:szCs w:val="22"/>
              </w:rPr>
              <w:t xml:space="preserve">Duration on adalimumab before dose increase </w:t>
            </w:r>
          </w:p>
        </w:tc>
        <w:tc>
          <w:tcPr>
            <w:tcW w:w="4046" w:type="dxa"/>
            <w:shd w:val="clear" w:color="auto" w:fill="156082" w:themeFill="accent1"/>
          </w:tcPr>
          <w:p w14:paraId="1F53844C" w14:textId="60AB0BBF" w:rsidR="00D26625" w:rsidRPr="00150DF7" w:rsidRDefault="00D26625"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1-3 months </w:t>
            </w:r>
          </w:p>
        </w:tc>
        <w:tc>
          <w:tcPr>
            <w:tcW w:w="3296" w:type="dxa"/>
          </w:tcPr>
          <w:p w14:paraId="62070C0F" w14:textId="0377056C" w:rsidR="00D26625" w:rsidRPr="00150DF7" w:rsidRDefault="00D26625"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3 (7.1)</w:t>
            </w:r>
          </w:p>
        </w:tc>
      </w:tr>
      <w:tr w:rsidR="00D26625" w:rsidRPr="00150DF7" w14:paraId="5E314717"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2BEC95E1" w14:textId="77777777" w:rsidR="00D26625" w:rsidRPr="00150DF7" w:rsidRDefault="00D26625" w:rsidP="00150DF7">
            <w:pPr>
              <w:rPr>
                <w:sz w:val="22"/>
                <w:szCs w:val="22"/>
              </w:rPr>
            </w:pPr>
          </w:p>
        </w:tc>
        <w:tc>
          <w:tcPr>
            <w:tcW w:w="4046" w:type="dxa"/>
            <w:shd w:val="clear" w:color="auto" w:fill="156082" w:themeFill="accent1"/>
          </w:tcPr>
          <w:p w14:paraId="2E3EAE75" w14:textId="07BCC6DA" w:rsidR="00D26625" w:rsidRPr="00150DF7" w:rsidRDefault="00D26625"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4-6 months </w:t>
            </w:r>
          </w:p>
        </w:tc>
        <w:tc>
          <w:tcPr>
            <w:tcW w:w="3296" w:type="dxa"/>
          </w:tcPr>
          <w:p w14:paraId="35B7908D" w14:textId="7E50C608" w:rsidR="00D26625" w:rsidRPr="00150DF7" w:rsidRDefault="00D26625"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4 (9.5)</w:t>
            </w:r>
          </w:p>
        </w:tc>
      </w:tr>
      <w:tr w:rsidR="00D26625" w:rsidRPr="00150DF7" w14:paraId="49DCD2EA"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6844817A" w14:textId="77777777" w:rsidR="00D26625" w:rsidRPr="00150DF7" w:rsidRDefault="00D26625" w:rsidP="00150DF7">
            <w:pPr>
              <w:rPr>
                <w:sz w:val="22"/>
                <w:szCs w:val="22"/>
              </w:rPr>
            </w:pPr>
          </w:p>
        </w:tc>
        <w:tc>
          <w:tcPr>
            <w:tcW w:w="4046" w:type="dxa"/>
            <w:shd w:val="clear" w:color="auto" w:fill="156082" w:themeFill="accent1"/>
          </w:tcPr>
          <w:p w14:paraId="27280B99" w14:textId="1A7A886E" w:rsidR="00D26625" w:rsidRPr="00150DF7" w:rsidRDefault="00D26625"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7-12 months </w:t>
            </w:r>
          </w:p>
        </w:tc>
        <w:tc>
          <w:tcPr>
            <w:tcW w:w="3296" w:type="dxa"/>
          </w:tcPr>
          <w:p w14:paraId="4651C419" w14:textId="373A18C4" w:rsidR="00D26625" w:rsidRPr="00150DF7" w:rsidRDefault="00D26625"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12 (28.6)</w:t>
            </w:r>
          </w:p>
        </w:tc>
      </w:tr>
      <w:tr w:rsidR="00D26625" w:rsidRPr="00150DF7" w14:paraId="24A58A95"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31CC80DC" w14:textId="77777777" w:rsidR="00D26625" w:rsidRPr="00150DF7" w:rsidRDefault="00D26625" w:rsidP="00150DF7">
            <w:pPr>
              <w:rPr>
                <w:sz w:val="22"/>
                <w:szCs w:val="22"/>
              </w:rPr>
            </w:pPr>
          </w:p>
        </w:tc>
        <w:tc>
          <w:tcPr>
            <w:tcW w:w="4046" w:type="dxa"/>
            <w:shd w:val="clear" w:color="auto" w:fill="156082" w:themeFill="accent1"/>
          </w:tcPr>
          <w:p w14:paraId="0D784D58" w14:textId="05E29873" w:rsidR="00D26625" w:rsidRPr="00150DF7" w:rsidRDefault="00D26625"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11-18 months </w:t>
            </w:r>
          </w:p>
        </w:tc>
        <w:tc>
          <w:tcPr>
            <w:tcW w:w="3296" w:type="dxa"/>
          </w:tcPr>
          <w:p w14:paraId="5B3BEAA4" w14:textId="771190F8" w:rsidR="00D26625" w:rsidRPr="00150DF7" w:rsidRDefault="00D26625"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9 (21.4)</w:t>
            </w:r>
          </w:p>
        </w:tc>
      </w:tr>
      <w:tr w:rsidR="00D26625" w:rsidRPr="00150DF7" w14:paraId="295B9CBC"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34DEB5A0" w14:textId="77777777" w:rsidR="00D26625" w:rsidRPr="00150DF7" w:rsidRDefault="00D26625" w:rsidP="00150DF7">
            <w:pPr>
              <w:rPr>
                <w:sz w:val="22"/>
                <w:szCs w:val="22"/>
              </w:rPr>
            </w:pPr>
          </w:p>
        </w:tc>
        <w:tc>
          <w:tcPr>
            <w:tcW w:w="4046" w:type="dxa"/>
            <w:shd w:val="clear" w:color="auto" w:fill="156082" w:themeFill="accent1"/>
          </w:tcPr>
          <w:p w14:paraId="5EEA7A4A" w14:textId="651EB01D" w:rsidR="00D26625" w:rsidRPr="00150DF7" w:rsidRDefault="00D26625"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19-24 months </w:t>
            </w:r>
          </w:p>
        </w:tc>
        <w:tc>
          <w:tcPr>
            <w:tcW w:w="3296" w:type="dxa"/>
          </w:tcPr>
          <w:p w14:paraId="64624771" w14:textId="48F94BFF" w:rsidR="00D26625" w:rsidRPr="00150DF7" w:rsidRDefault="00D26625"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3 (7.1)</w:t>
            </w:r>
          </w:p>
        </w:tc>
      </w:tr>
      <w:tr w:rsidR="00D26625" w:rsidRPr="00150DF7" w14:paraId="046357E7"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0AF10350" w14:textId="77777777" w:rsidR="00D26625" w:rsidRPr="00150DF7" w:rsidRDefault="00D26625" w:rsidP="00150DF7">
            <w:pPr>
              <w:rPr>
                <w:sz w:val="22"/>
                <w:szCs w:val="22"/>
              </w:rPr>
            </w:pPr>
          </w:p>
        </w:tc>
        <w:tc>
          <w:tcPr>
            <w:tcW w:w="4046" w:type="dxa"/>
            <w:shd w:val="clear" w:color="auto" w:fill="156082" w:themeFill="accent1"/>
          </w:tcPr>
          <w:p w14:paraId="5B18C7C3" w14:textId="2E1EDD01" w:rsidR="00D26625" w:rsidRPr="00150DF7" w:rsidRDefault="00D26625"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25-36 months </w:t>
            </w:r>
          </w:p>
        </w:tc>
        <w:tc>
          <w:tcPr>
            <w:tcW w:w="3296" w:type="dxa"/>
          </w:tcPr>
          <w:p w14:paraId="60B46A6A" w14:textId="28DCAA19" w:rsidR="00D26625" w:rsidRPr="00150DF7" w:rsidRDefault="00D26625"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7 (16.8)</w:t>
            </w:r>
          </w:p>
        </w:tc>
      </w:tr>
      <w:tr w:rsidR="00D26625" w:rsidRPr="00150DF7" w14:paraId="2B165D71"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7CC952E8" w14:textId="77777777" w:rsidR="00D26625" w:rsidRPr="00150DF7" w:rsidRDefault="00D26625" w:rsidP="00150DF7">
            <w:pPr>
              <w:rPr>
                <w:sz w:val="22"/>
                <w:szCs w:val="22"/>
              </w:rPr>
            </w:pPr>
          </w:p>
        </w:tc>
        <w:tc>
          <w:tcPr>
            <w:tcW w:w="4046" w:type="dxa"/>
            <w:shd w:val="clear" w:color="auto" w:fill="156082" w:themeFill="accent1"/>
          </w:tcPr>
          <w:p w14:paraId="527E9740" w14:textId="56C3B339" w:rsidR="00D26625" w:rsidRPr="00150DF7" w:rsidRDefault="00D26625"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37-48 months </w:t>
            </w:r>
          </w:p>
        </w:tc>
        <w:tc>
          <w:tcPr>
            <w:tcW w:w="3296" w:type="dxa"/>
          </w:tcPr>
          <w:p w14:paraId="5D7D4D96" w14:textId="03CB4599" w:rsidR="00D26625" w:rsidRPr="00150DF7" w:rsidRDefault="00D26625"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5 (12.0)</w:t>
            </w:r>
          </w:p>
        </w:tc>
      </w:tr>
      <w:tr w:rsidR="00D26625" w:rsidRPr="00150DF7" w14:paraId="69BEF2E5"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63E352A4" w14:textId="77777777" w:rsidR="00D26625" w:rsidRPr="00150DF7" w:rsidRDefault="00D26625" w:rsidP="00150DF7">
            <w:pPr>
              <w:rPr>
                <w:sz w:val="22"/>
                <w:szCs w:val="22"/>
              </w:rPr>
            </w:pPr>
          </w:p>
        </w:tc>
        <w:tc>
          <w:tcPr>
            <w:tcW w:w="4046" w:type="dxa"/>
            <w:shd w:val="clear" w:color="auto" w:fill="156082" w:themeFill="accent1"/>
          </w:tcPr>
          <w:p w14:paraId="22E64A9A" w14:textId="6C964712" w:rsidR="00D26625" w:rsidRPr="00150DF7" w:rsidRDefault="00D26625"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49-60 months </w:t>
            </w:r>
          </w:p>
        </w:tc>
        <w:tc>
          <w:tcPr>
            <w:tcW w:w="3296" w:type="dxa"/>
          </w:tcPr>
          <w:p w14:paraId="77C8B46F" w14:textId="11663F12" w:rsidR="00D26625" w:rsidRPr="00150DF7" w:rsidRDefault="00D26625"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 (2.4)</w:t>
            </w:r>
          </w:p>
        </w:tc>
      </w:tr>
      <w:tr w:rsidR="00D26625" w:rsidRPr="00150DF7" w14:paraId="13A6F967"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3D4813BE" w14:textId="77777777" w:rsidR="00D26625" w:rsidRPr="00150DF7" w:rsidRDefault="00D26625" w:rsidP="00150DF7">
            <w:pPr>
              <w:rPr>
                <w:sz w:val="22"/>
                <w:szCs w:val="22"/>
              </w:rPr>
            </w:pPr>
          </w:p>
        </w:tc>
        <w:tc>
          <w:tcPr>
            <w:tcW w:w="4046" w:type="dxa"/>
            <w:shd w:val="clear" w:color="auto" w:fill="156082" w:themeFill="accent1"/>
          </w:tcPr>
          <w:p w14:paraId="112A275C" w14:textId="3011A6CA" w:rsidR="00D26625" w:rsidRPr="00150DF7" w:rsidRDefault="00D26625"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&gt;60 months </w:t>
            </w:r>
          </w:p>
        </w:tc>
        <w:tc>
          <w:tcPr>
            <w:tcW w:w="3296" w:type="dxa"/>
          </w:tcPr>
          <w:p w14:paraId="1934A4E7" w14:textId="1949E997" w:rsidR="00D26625" w:rsidRPr="00150DF7" w:rsidRDefault="00D26625"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2 (4.8)</w:t>
            </w:r>
          </w:p>
        </w:tc>
      </w:tr>
      <w:tr w:rsidR="00150DF7" w:rsidRPr="00150DF7" w14:paraId="710541F4"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val="restart"/>
          </w:tcPr>
          <w:p w14:paraId="60190721" w14:textId="7CD0E80B" w:rsidR="00150DF7" w:rsidRPr="00150DF7" w:rsidRDefault="00150DF7" w:rsidP="00150DF7">
            <w:pPr>
              <w:rPr>
                <w:sz w:val="22"/>
                <w:szCs w:val="22"/>
              </w:rPr>
            </w:pPr>
            <w:r w:rsidRPr="00150DF7">
              <w:rPr>
                <w:sz w:val="22"/>
                <w:szCs w:val="22"/>
              </w:rPr>
              <w:t xml:space="preserve">Total duration of adalimumab 80mg weekly </w:t>
            </w:r>
          </w:p>
        </w:tc>
        <w:tc>
          <w:tcPr>
            <w:tcW w:w="4046" w:type="dxa"/>
            <w:shd w:val="clear" w:color="auto" w:fill="156082" w:themeFill="accent1"/>
          </w:tcPr>
          <w:p w14:paraId="3B335E9F" w14:textId="7562FA55" w:rsidR="00150DF7" w:rsidRPr="00150DF7" w:rsidRDefault="00150DF7"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rFonts w:cs="Calibri Light"/>
                <w:color w:val="FFFFFF" w:themeColor="background1"/>
                <w:sz w:val="22"/>
                <w:szCs w:val="22"/>
              </w:rPr>
              <w:t xml:space="preserve">≤ </w:t>
            </w:r>
            <w:r w:rsidRPr="00150DF7">
              <w:rPr>
                <w:color w:val="FFFFFF" w:themeColor="background1"/>
                <w:sz w:val="22"/>
                <w:szCs w:val="22"/>
              </w:rPr>
              <w:t xml:space="preserve">3 months </w:t>
            </w:r>
          </w:p>
        </w:tc>
        <w:tc>
          <w:tcPr>
            <w:tcW w:w="3296" w:type="dxa"/>
          </w:tcPr>
          <w:p w14:paraId="3CC1C73D" w14:textId="712A9752" w:rsidR="00150DF7" w:rsidRPr="00150DF7" w:rsidRDefault="00150DF7"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11 (26.2)</w:t>
            </w:r>
          </w:p>
        </w:tc>
      </w:tr>
      <w:tr w:rsidR="00150DF7" w:rsidRPr="00150DF7" w14:paraId="304CB5BB"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5373D686" w14:textId="77777777" w:rsidR="00150DF7" w:rsidRPr="00150DF7" w:rsidRDefault="00150DF7" w:rsidP="00150DF7">
            <w:pPr>
              <w:rPr>
                <w:sz w:val="22"/>
                <w:szCs w:val="22"/>
              </w:rPr>
            </w:pPr>
          </w:p>
        </w:tc>
        <w:tc>
          <w:tcPr>
            <w:tcW w:w="4046" w:type="dxa"/>
            <w:shd w:val="clear" w:color="auto" w:fill="156082" w:themeFill="accent1"/>
          </w:tcPr>
          <w:p w14:paraId="1DF9BEBB" w14:textId="09E4A379" w:rsidR="00150DF7" w:rsidRPr="00150DF7" w:rsidRDefault="00150DF7" w:rsidP="00150DF7">
            <w:pPr>
              <w:cnfStyle w:val="000000000000" w:firstRow="0" w:lastRow="0" w:firstColumn="0" w:lastColumn="0" w:oddVBand="0" w:evenVBand="0" w:oddHBand="0" w:evenHBand="0" w:firstRowFirstColumn="0" w:firstRowLastColumn="0" w:lastRowFirstColumn="0" w:lastRowLastColumn="0"/>
              <w:rPr>
                <w:rFonts w:cs="Calibri Light"/>
                <w:color w:val="FFFFFF" w:themeColor="background1"/>
                <w:sz w:val="22"/>
                <w:szCs w:val="22"/>
              </w:rPr>
            </w:pPr>
            <w:r w:rsidRPr="00150DF7">
              <w:rPr>
                <w:color w:val="FFFFFF" w:themeColor="background1"/>
                <w:sz w:val="22"/>
                <w:szCs w:val="22"/>
              </w:rPr>
              <w:t xml:space="preserve">4-6months </w:t>
            </w:r>
          </w:p>
        </w:tc>
        <w:tc>
          <w:tcPr>
            <w:tcW w:w="3296" w:type="dxa"/>
          </w:tcPr>
          <w:p w14:paraId="1116BC91" w14:textId="236018F3" w:rsidR="00150DF7" w:rsidRPr="00150DF7" w:rsidRDefault="00150DF7"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9 (21.4)</w:t>
            </w:r>
          </w:p>
        </w:tc>
      </w:tr>
      <w:tr w:rsidR="00150DF7" w:rsidRPr="00150DF7" w14:paraId="5A6141AB" w14:textId="77777777" w:rsidTr="00AE12D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14" w:type="dxa"/>
            <w:vMerge/>
          </w:tcPr>
          <w:p w14:paraId="270B9CF1" w14:textId="77777777" w:rsidR="00150DF7" w:rsidRPr="00150DF7" w:rsidRDefault="00150DF7" w:rsidP="00150DF7">
            <w:pPr>
              <w:rPr>
                <w:sz w:val="22"/>
                <w:szCs w:val="22"/>
              </w:rPr>
            </w:pPr>
          </w:p>
        </w:tc>
        <w:tc>
          <w:tcPr>
            <w:tcW w:w="4046" w:type="dxa"/>
            <w:shd w:val="clear" w:color="auto" w:fill="156082" w:themeFill="accent1"/>
          </w:tcPr>
          <w:p w14:paraId="0390A125" w14:textId="60212678" w:rsidR="00150DF7" w:rsidRPr="00150DF7" w:rsidRDefault="00150DF7" w:rsidP="00150DF7">
            <w:pPr>
              <w:cnfStyle w:val="000000100000" w:firstRow="0" w:lastRow="0" w:firstColumn="0" w:lastColumn="0" w:oddVBand="0" w:evenVBand="0" w:oddHBand="1"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7-12 months </w:t>
            </w:r>
          </w:p>
        </w:tc>
        <w:tc>
          <w:tcPr>
            <w:tcW w:w="3296" w:type="dxa"/>
          </w:tcPr>
          <w:p w14:paraId="5E82C8E1" w14:textId="72CDB244" w:rsidR="00150DF7" w:rsidRPr="00150DF7" w:rsidRDefault="00150DF7" w:rsidP="00150DF7">
            <w:pPr>
              <w:jc w:val="center"/>
              <w:cnfStyle w:val="000000100000" w:firstRow="0" w:lastRow="0" w:firstColumn="0" w:lastColumn="0" w:oddVBand="0" w:evenVBand="0" w:oddHBand="1" w:evenHBand="0" w:firstRowFirstColumn="0" w:firstRowLastColumn="0" w:lastRowFirstColumn="0" w:lastRowLastColumn="0"/>
              <w:rPr>
                <w:sz w:val="22"/>
                <w:szCs w:val="22"/>
              </w:rPr>
            </w:pPr>
            <w:r w:rsidRPr="00150DF7">
              <w:rPr>
                <w:sz w:val="22"/>
                <w:szCs w:val="22"/>
              </w:rPr>
              <w:t>13 (31.0)</w:t>
            </w:r>
          </w:p>
        </w:tc>
      </w:tr>
      <w:tr w:rsidR="00150DF7" w:rsidRPr="00150DF7" w14:paraId="46DD955C" w14:textId="77777777" w:rsidTr="00AE12D4">
        <w:tc>
          <w:tcPr>
            <w:cnfStyle w:val="001000000000" w:firstRow="0" w:lastRow="0" w:firstColumn="1" w:lastColumn="0" w:oddVBand="0" w:evenVBand="0" w:oddHBand="0" w:evenHBand="0" w:firstRowFirstColumn="0" w:firstRowLastColumn="0" w:lastRowFirstColumn="0" w:lastRowLastColumn="0"/>
            <w:tcW w:w="3114" w:type="dxa"/>
            <w:vMerge/>
          </w:tcPr>
          <w:p w14:paraId="44BEF861" w14:textId="77777777" w:rsidR="00150DF7" w:rsidRPr="00150DF7" w:rsidRDefault="00150DF7" w:rsidP="00150DF7">
            <w:pPr>
              <w:rPr>
                <w:sz w:val="22"/>
                <w:szCs w:val="22"/>
              </w:rPr>
            </w:pPr>
          </w:p>
        </w:tc>
        <w:tc>
          <w:tcPr>
            <w:tcW w:w="4046" w:type="dxa"/>
            <w:shd w:val="clear" w:color="auto" w:fill="156082" w:themeFill="accent1"/>
          </w:tcPr>
          <w:p w14:paraId="6D4B863D" w14:textId="3DB7D113" w:rsidR="00150DF7" w:rsidRPr="00150DF7" w:rsidRDefault="00150DF7" w:rsidP="00150DF7">
            <w:pPr>
              <w:cnfStyle w:val="000000000000" w:firstRow="0" w:lastRow="0" w:firstColumn="0" w:lastColumn="0" w:oddVBand="0" w:evenVBand="0" w:oddHBand="0" w:evenHBand="0" w:firstRowFirstColumn="0" w:firstRowLastColumn="0" w:lastRowFirstColumn="0" w:lastRowLastColumn="0"/>
              <w:rPr>
                <w:color w:val="FFFFFF" w:themeColor="background1"/>
                <w:sz w:val="22"/>
                <w:szCs w:val="22"/>
              </w:rPr>
            </w:pPr>
            <w:r w:rsidRPr="00150DF7">
              <w:rPr>
                <w:color w:val="FFFFFF" w:themeColor="background1"/>
                <w:sz w:val="22"/>
                <w:szCs w:val="22"/>
              </w:rPr>
              <w:t xml:space="preserve">&gt;12months </w:t>
            </w:r>
          </w:p>
        </w:tc>
        <w:tc>
          <w:tcPr>
            <w:tcW w:w="3296" w:type="dxa"/>
          </w:tcPr>
          <w:p w14:paraId="0569CCAC" w14:textId="4FDC99E5" w:rsidR="00150DF7" w:rsidRPr="00150DF7" w:rsidRDefault="00150DF7" w:rsidP="00150DF7">
            <w:pPr>
              <w:jc w:val="center"/>
              <w:cnfStyle w:val="000000000000" w:firstRow="0" w:lastRow="0" w:firstColumn="0" w:lastColumn="0" w:oddVBand="0" w:evenVBand="0" w:oddHBand="0" w:evenHBand="0" w:firstRowFirstColumn="0" w:firstRowLastColumn="0" w:lastRowFirstColumn="0" w:lastRowLastColumn="0"/>
              <w:rPr>
                <w:sz w:val="22"/>
                <w:szCs w:val="22"/>
              </w:rPr>
            </w:pPr>
            <w:r w:rsidRPr="00150DF7">
              <w:rPr>
                <w:sz w:val="22"/>
                <w:szCs w:val="22"/>
              </w:rPr>
              <w:t>9 (21.4)</w:t>
            </w:r>
          </w:p>
        </w:tc>
      </w:tr>
    </w:tbl>
    <w:p w14:paraId="047CB393" w14:textId="77E17891" w:rsidR="004E7C82" w:rsidRPr="00150DF7" w:rsidRDefault="00122F34" w:rsidP="00150DF7">
      <w:pPr>
        <w:pStyle w:val="Caption"/>
        <w:rPr>
          <w:sz w:val="24"/>
          <w:szCs w:val="24"/>
        </w:rPr>
      </w:pPr>
      <w:r w:rsidRPr="00122F34">
        <w:rPr>
          <w:sz w:val="24"/>
          <w:szCs w:val="24"/>
        </w:rPr>
        <w:t xml:space="preserve">Table </w:t>
      </w:r>
      <w:r w:rsidRPr="00122F34">
        <w:rPr>
          <w:sz w:val="24"/>
          <w:szCs w:val="24"/>
        </w:rPr>
        <w:fldChar w:fldCharType="begin"/>
      </w:r>
      <w:r w:rsidRPr="00122F34">
        <w:rPr>
          <w:sz w:val="24"/>
          <w:szCs w:val="24"/>
        </w:rPr>
        <w:instrText xml:space="preserve"> SEQ Table \* ARABIC </w:instrText>
      </w:r>
      <w:r w:rsidRPr="00122F34">
        <w:rPr>
          <w:sz w:val="24"/>
          <w:szCs w:val="24"/>
        </w:rPr>
        <w:fldChar w:fldCharType="separate"/>
      </w:r>
      <w:r w:rsidRPr="00122F34">
        <w:rPr>
          <w:noProof/>
          <w:sz w:val="24"/>
          <w:szCs w:val="24"/>
        </w:rPr>
        <w:t>1</w:t>
      </w:r>
      <w:r w:rsidRPr="00122F34">
        <w:rPr>
          <w:sz w:val="24"/>
          <w:szCs w:val="24"/>
        </w:rPr>
        <w:fldChar w:fldCharType="end"/>
      </w:r>
      <w:r w:rsidRPr="00122F34">
        <w:rPr>
          <w:sz w:val="24"/>
          <w:szCs w:val="24"/>
        </w:rPr>
        <w:t>: Demographics of patients</w:t>
      </w:r>
    </w:p>
    <w:sectPr w:rsidR="004E7C82" w:rsidRPr="00150DF7" w:rsidSect="004E7C8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83D8C"/>
    <w:multiLevelType w:val="hybridMultilevel"/>
    <w:tmpl w:val="0244639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4D0F6BE5"/>
    <w:multiLevelType w:val="hybridMultilevel"/>
    <w:tmpl w:val="A8A694FE"/>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num w:numId="1" w16cid:durableId="1880508867">
    <w:abstractNumId w:val="0"/>
  </w:num>
  <w:num w:numId="2" w16cid:durableId="21057616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C82"/>
    <w:rsid w:val="00002678"/>
    <w:rsid w:val="000028EC"/>
    <w:rsid w:val="00007492"/>
    <w:rsid w:val="00013490"/>
    <w:rsid w:val="00014612"/>
    <w:rsid w:val="00016229"/>
    <w:rsid w:val="00016CBF"/>
    <w:rsid w:val="0002077F"/>
    <w:rsid w:val="00024F58"/>
    <w:rsid w:val="000265FC"/>
    <w:rsid w:val="00026ABA"/>
    <w:rsid w:val="0003761F"/>
    <w:rsid w:val="000407D0"/>
    <w:rsid w:val="00051927"/>
    <w:rsid w:val="00053317"/>
    <w:rsid w:val="00053C0C"/>
    <w:rsid w:val="00055CCB"/>
    <w:rsid w:val="000621DF"/>
    <w:rsid w:val="0006272A"/>
    <w:rsid w:val="00062ED5"/>
    <w:rsid w:val="000635EF"/>
    <w:rsid w:val="00064A29"/>
    <w:rsid w:val="00064EAE"/>
    <w:rsid w:val="00065B35"/>
    <w:rsid w:val="000708E4"/>
    <w:rsid w:val="00073A6E"/>
    <w:rsid w:val="000747AB"/>
    <w:rsid w:val="000832F0"/>
    <w:rsid w:val="00085829"/>
    <w:rsid w:val="00091757"/>
    <w:rsid w:val="000A3157"/>
    <w:rsid w:val="000A72AF"/>
    <w:rsid w:val="000B0173"/>
    <w:rsid w:val="000B2A02"/>
    <w:rsid w:val="000C20E9"/>
    <w:rsid w:val="000C2A78"/>
    <w:rsid w:val="000C3570"/>
    <w:rsid w:val="000C3CE6"/>
    <w:rsid w:val="000C71F3"/>
    <w:rsid w:val="000C72DD"/>
    <w:rsid w:val="000D00AF"/>
    <w:rsid w:val="000D0C86"/>
    <w:rsid w:val="000D403C"/>
    <w:rsid w:val="000D4703"/>
    <w:rsid w:val="000E50C6"/>
    <w:rsid w:val="000E704F"/>
    <w:rsid w:val="000F6FB5"/>
    <w:rsid w:val="001005BD"/>
    <w:rsid w:val="001068EC"/>
    <w:rsid w:val="00110206"/>
    <w:rsid w:val="00113540"/>
    <w:rsid w:val="00114514"/>
    <w:rsid w:val="001201D9"/>
    <w:rsid w:val="00122017"/>
    <w:rsid w:val="00122F34"/>
    <w:rsid w:val="001235FA"/>
    <w:rsid w:val="00125233"/>
    <w:rsid w:val="001355DF"/>
    <w:rsid w:val="00136E60"/>
    <w:rsid w:val="00137D97"/>
    <w:rsid w:val="00140632"/>
    <w:rsid w:val="00140C90"/>
    <w:rsid w:val="0014423F"/>
    <w:rsid w:val="00146466"/>
    <w:rsid w:val="00146506"/>
    <w:rsid w:val="00150DF7"/>
    <w:rsid w:val="00151DA4"/>
    <w:rsid w:val="00163AFA"/>
    <w:rsid w:val="00165582"/>
    <w:rsid w:val="00167A88"/>
    <w:rsid w:val="00177646"/>
    <w:rsid w:val="0018059C"/>
    <w:rsid w:val="00184B8D"/>
    <w:rsid w:val="00184F31"/>
    <w:rsid w:val="00185315"/>
    <w:rsid w:val="001A234C"/>
    <w:rsid w:val="001B18A6"/>
    <w:rsid w:val="001B1A8F"/>
    <w:rsid w:val="001B20A6"/>
    <w:rsid w:val="001B54E5"/>
    <w:rsid w:val="001B6AB7"/>
    <w:rsid w:val="001C00C1"/>
    <w:rsid w:val="001C1058"/>
    <w:rsid w:val="001C78FF"/>
    <w:rsid w:val="001D0384"/>
    <w:rsid w:val="001D0991"/>
    <w:rsid w:val="001D0C63"/>
    <w:rsid w:val="001D2F3D"/>
    <w:rsid w:val="001D6870"/>
    <w:rsid w:val="001E0DB9"/>
    <w:rsid w:val="00200C13"/>
    <w:rsid w:val="0021241A"/>
    <w:rsid w:val="00215231"/>
    <w:rsid w:val="0022167E"/>
    <w:rsid w:val="00225092"/>
    <w:rsid w:val="00230A1C"/>
    <w:rsid w:val="00240559"/>
    <w:rsid w:val="002416F3"/>
    <w:rsid w:val="00243357"/>
    <w:rsid w:val="00245E82"/>
    <w:rsid w:val="0025274E"/>
    <w:rsid w:val="002667C4"/>
    <w:rsid w:val="00267FAF"/>
    <w:rsid w:val="0027151E"/>
    <w:rsid w:val="00273479"/>
    <w:rsid w:val="00276ED7"/>
    <w:rsid w:val="00285660"/>
    <w:rsid w:val="002916AA"/>
    <w:rsid w:val="002A4DA5"/>
    <w:rsid w:val="002A7382"/>
    <w:rsid w:val="002B06C8"/>
    <w:rsid w:val="002B089D"/>
    <w:rsid w:val="002B21B2"/>
    <w:rsid w:val="002B771B"/>
    <w:rsid w:val="002B7993"/>
    <w:rsid w:val="002C03FF"/>
    <w:rsid w:val="002C1B57"/>
    <w:rsid w:val="002C64C4"/>
    <w:rsid w:val="002D4FA2"/>
    <w:rsid w:val="002E568C"/>
    <w:rsid w:val="002E7EF3"/>
    <w:rsid w:val="002F003B"/>
    <w:rsid w:val="002F031A"/>
    <w:rsid w:val="00306380"/>
    <w:rsid w:val="00313394"/>
    <w:rsid w:val="00314B16"/>
    <w:rsid w:val="003245EC"/>
    <w:rsid w:val="00326EAA"/>
    <w:rsid w:val="003277C6"/>
    <w:rsid w:val="00334A54"/>
    <w:rsid w:val="00336A2C"/>
    <w:rsid w:val="00337021"/>
    <w:rsid w:val="0034694B"/>
    <w:rsid w:val="00352A4D"/>
    <w:rsid w:val="00353E1C"/>
    <w:rsid w:val="003562BE"/>
    <w:rsid w:val="003661A5"/>
    <w:rsid w:val="0036785F"/>
    <w:rsid w:val="00374FE7"/>
    <w:rsid w:val="003907D7"/>
    <w:rsid w:val="003932E7"/>
    <w:rsid w:val="003936A8"/>
    <w:rsid w:val="00394547"/>
    <w:rsid w:val="00394726"/>
    <w:rsid w:val="003967A3"/>
    <w:rsid w:val="00397102"/>
    <w:rsid w:val="00397E9B"/>
    <w:rsid w:val="003A14C3"/>
    <w:rsid w:val="003A3075"/>
    <w:rsid w:val="003A791E"/>
    <w:rsid w:val="003B1502"/>
    <w:rsid w:val="003B48E1"/>
    <w:rsid w:val="003C0500"/>
    <w:rsid w:val="003C0C04"/>
    <w:rsid w:val="003C4F59"/>
    <w:rsid w:val="003D26C2"/>
    <w:rsid w:val="003D3E7B"/>
    <w:rsid w:val="003E21D7"/>
    <w:rsid w:val="00401B34"/>
    <w:rsid w:val="004022A4"/>
    <w:rsid w:val="00405D99"/>
    <w:rsid w:val="00411244"/>
    <w:rsid w:val="00412E8F"/>
    <w:rsid w:val="00413996"/>
    <w:rsid w:val="004149C2"/>
    <w:rsid w:val="00423907"/>
    <w:rsid w:val="004336E0"/>
    <w:rsid w:val="00441551"/>
    <w:rsid w:val="00442609"/>
    <w:rsid w:val="0044790A"/>
    <w:rsid w:val="00457152"/>
    <w:rsid w:val="00464FA5"/>
    <w:rsid w:val="00467AF4"/>
    <w:rsid w:val="00472BCE"/>
    <w:rsid w:val="004757C8"/>
    <w:rsid w:val="0048008B"/>
    <w:rsid w:val="0049680B"/>
    <w:rsid w:val="004B2AF2"/>
    <w:rsid w:val="004C3343"/>
    <w:rsid w:val="004C4290"/>
    <w:rsid w:val="004C4535"/>
    <w:rsid w:val="004D0C4D"/>
    <w:rsid w:val="004D3517"/>
    <w:rsid w:val="004D67A7"/>
    <w:rsid w:val="004D6846"/>
    <w:rsid w:val="004E13D7"/>
    <w:rsid w:val="004E21C2"/>
    <w:rsid w:val="004E7B83"/>
    <w:rsid w:val="004E7C82"/>
    <w:rsid w:val="004F4A56"/>
    <w:rsid w:val="00500670"/>
    <w:rsid w:val="00500C9A"/>
    <w:rsid w:val="00505BA4"/>
    <w:rsid w:val="005164D0"/>
    <w:rsid w:val="00516830"/>
    <w:rsid w:val="00530916"/>
    <w:rsid w:val="0053299C"/>
    <w:rsid w:val="00533464"/>
    <w:rsid w:val="00533B9D"/>
    <w:rsid w:val="00541DEA"/>
    <w:rsid w:val="005448DB"/>
    <w:rsid w:val="00545F37"/>
    <w:rsid w:val="005502D2"/>
    <w:rsid w:val="005544F7"/>
    <w:rsid w:val="005713E0"/>
    <w:rsid w:val="00572D31"/>
    <w:rsid w:val="005736E5"/>
    <w:rsid w:val="00574A79"/>
    <w:rsid w:val="00574BE2"/>
    <w:rsid w:val="005835B2"/>
    <w:rsid w:val="00583DB2"/>
    <w:rsid w:val="005840EF"/>
    <w:rsid w:val="00587FCD"/>
    <w:rsid w:val="00590915"/>
    <w:rsid w:val="005A1547"/>
    <w:rsid w:val="005A2E80"/>
    <w:rsid w:val="005A50CB"/>
    <w:rsid w:val="005B1658"/>
    <w:rsid w:val="005B4146"/>
    <w:rsid w:val="005B5B2F"/>
    <w:rsid w:val="005B6EFD"/>
    <w:rsid w:val="005B7F57"/>
    <w:rsid w:val="005C0377"/>
    <w:rsid w:val="005C3523"/>
    <w:rsid w:val="005C64E1"/>
    <w:rsid w:val="005C6F77"/>
    <w:rsid w:val="005E0DEF"/>
    <w:rsid w:val="005E420A"/>
    <w:rsid w:val="005E6D4B"/>
    <w:rsid w:val="00612619"/>
    <w:rsid w:val="006126C1"/>
    <w:rsid w:val="00613E8B"/>
    <w:rsid w:val="00614AA3"/>
    <w:rsid w:val="00616470"/>
    <w:rsid w:val="00625F35"/>
    <w:rsid w:val="00626431"/>
    <w:rsid w:val="00626AEA"/>
    <w:rsid w:val="00631BA8"/>
    <w:rsid w:val="00632931"/>
    <w:rsid w:val="006477B2"/>
    <w:rsid w:val="00647C2F"/>
    <w:rsid w:val="0065256C"/>
    <w:rsid w:val="00665D54"/>
    <w:rsid w:val="00666644"/>
    <w:rsid w:val="00666B70"/>
    <w:rsid w:val="00675A65"/>
    <w:rsid w:val="00675CE8"/>
    <w:rsid w:val="00677A3E"/>
    <w:rsid w:val="00682B13"/>
    <w:rsid w:val="00692AEF"/>
    <w:rsid w:val="006A17C4"/>
    <w:rsid w:val="006A305C"/>
    <w:rsid w:val="006A6330"/>
    <w:rsid w:val="006C410E"/>
    <w:rsid w:val="006E765A"/>
    <w:rsid w:val="006F403D"/>
    <w:rsid w:val="006F4355"/>
    <w:rsid w:val="007010A2"/>
    <w:rsid w:val="00704C36"/>
    <w:rsid w:val="007153FE"/>
    <w:rsid w:val="00716458"/>
    <w:rsid w:val="0071756E"/>
    <w:rsid w:val="00717B50"/>
    <w:rsid w:val="0072117F"/>
    <w:rsid w:val="00724C7C"/>
    <w:rsid w:val="00724E29"/>
    <w:rsid w:val="007325A6"/>
    <w:rsid w:val="007403FA"/>
    <w:rsid w:val="00746589"/>
    <w:rsid w:val="0074745F"/>
    <w:rsid w:val="00750E2A"/>
    <w:rsid w:val="00751565"/>
    <w:rsid w:val="00752860"/>
    <w:rsid w:val="00753813"/>
    <w:rsid w:val="00754AD2"/>
    <w:rsid w:val="00756F6D"/>
    <w:rsid w:val="00757D26"/>
    <w:rsid w:val="00760A0C"/>
    <w:rsid w:val="00764081"/>
    <w:rsid w:val="00767EA8"/>
    <w:rsid w:val="0077400F"/>
    <w:rsid w:val="00780C20"/>
    <w:rsid w:val="00783724"/>
    <w:rsid w:val="00790B08"/>
    <w:rsid w:val="007934D5"/>
    <w:rsid w:val="007A14FF"/>
    <w:rsid w:val="007A55BB"/>
    <w:rsid w:val="007B0792"/>
    <w:rsid w:val="007C7717"/>
    <w:rsid w:val="007D441F"/>
    <w:rsid w:val="007E1CF6"/>
    <w:rsid w:val="007E48A5"/>
    <w:rsid w:val="0080032D"/>
    <w:rsid w:val="00810021"/>
    <w:rsid w:val="00827D44"/>
    <w:rsid w:val="00832E43"/>
    <w:rsid w:val="00847022"/>
    <w:rsid w:val="00857DBA"/>
    <w:rsid w:val="008611E0"/>
    <w:rsid w:val="00864F19"/>
    <w:rsid w:val="008711FF"/>
    <w:rsid w:val="00875766"/>
    <w:rsid w:val="00886529"/>
    <w:rsid w:val="00887B0E"/>
    <w:rsid w:val="008A1A6B"/>
    <w:rsid w:val="008B0788"/>
    <w:rsid w:val="008C35AB"/>
    <w:rsid w:val="008C7561"/>
    <w:rsid w:val="008D2202"/>
    <w:rsid w:val="008D23ED"/>
    <w:rsid w:val="008D2CBD"/>
    <w:rsid w:val="008E0BD1"/>
    <w:rsid w:val="008E6BE2"/>
    <w:rsid w:val="008F0D96"/>
    <w:rsid w:val="008F227A"/>
    <w:rsid w:val="008F2555"/>
    <w:rsid w:val="008F365F"/>
    <w:rsid w:val="009012AB"/>
    <w:rsid w:val="00901E24"/>
    <w:rsid w:val="009028B4"/>
    <w:rsid w:val="00907120"/>
    <w:rsid w:val="009077C1"/>
    <w:rsid w:val="00911395"/>
    <w:rsid w:val="00924666"/>
    <w:rsid w:val="009335AA"/>
    <w:rsid w:val="00934855"/>
    <w:rsid w:val="00940332"/>
    <w:rsid w:val="00942C3D"/>
    <w:rsid w:val="0094386F"/>
    <w:rsid w:val="0094501A"/>
    <w:rsid w:val="00945AB4"/>
    <w:rsid w:val="00952A04"/>
    <w:rsid w:val="00954AD6"/>
    <w:rsid w:val="00961A4D"/>
    <w:rsid w:val="00967995"/>
    <w:rsid w:val="00975029"/>
    <w:rsid w:val="009763C9"/>
    <w:rsid w:val="00985E0A"/>
    <w:rsid w:val="0098615D"/>
    <w:rsid w:val="00987A4B"/>
    <w:rsid w:val="00991EB3"/>
    <w:rsid w:val="00992E5B"/>
    <w:rsid w:val="00995213"/>
    <w:rsid w:val="009A2C39"/>
    <w:rsid w:val="009A5388"/>
    <w:rsid w:val="009A5AE6"/>
    <w:rsid w:val="009B58C0"/>
    <w:rsid w:val="009B718A"/>
    <w:rsid w:val="009C1ACD"/>
    <w:rsid w:val="009C2E38"/>
    <w:rsid w:val="009C427B"/>
    <w:rsid w:val="009C436A"/>
    <w:rsid w:val="009D1A2C"/>
    <w:rsid w:val="009E1D63"/>
    <w:rsid w:val="009E4A69"/>
    <w:rsid w:val="009F2A6F"/>
    <w:rsid w:val="00A00E2D"/>
    <w:rsid w:val="00A04EE0"/>
    <w:rsid w:val="00A053FB"/>
    <w:rsid w:val="00A07998"/>
    <w:rsid w:val="00A171D5"/>
    <w:rsid w:val="00A219D3"/>
    <w:rsid w:val="00A25553"/>
    <w:rsid w:val="00A27052"/>
    <w:rsid w:val="00A360C8"/>
    <w:rsid w:val="00A36E2C"/>
    <w:rsid w:val="00A442E4"/>
    <w:rsid w:val="00A46185"/>
    <w:rsid w:val="00A5188C"/>
    <w:rsid w:val="00A61535"/>
    <w:rsid w:val="00A70A42"/>
    <w:rsid w:val="00A81334"/>
    <w:rsid w:val="00A81764"/>
    <w:rsid w:val="00A974DC"/>
    <w:rsid w:val="00AA0F16"/>
    <w:rsid w:val="00AA1489"/>
    <w:rsid w:val="00AA1BA8"/>
    <w:rsid w:val="00AA736C"/>
    <w:rsid w:val="00AB0217"/>
    <w:rsid w:val="00AB1E22"/>
    <w:rsid w:val="00AB2172"/>
    <w:rsid w:val="00AC13BF"/>
    <w:rsid w:val="00AD79E4"/>
    <w:rsid w:val="00AE12D4"/>
    <w:rsid w:val="00AE7290"/>
    <w:rsid w:val="00AF0951"/>
    <w:rsid w:val="00AF5252"/>
    <w:rsid w:val="00AF6FFA"/>
    <w:rsid w:val="00B05C29"/>
    <w:rsid w:val="00B072FF"/>
    <w:rsid w:val="00B07EEC"/>
    <w:rsid w:val="00B12A5B"/>
    <w:rsid w:val="00B1586B"/>
    <w:rsid w:val="00B20BC2"/>
    <w:rsid w:val="00B234E1"/>
    <w:rsid w:val="00B24E0C"/>
    <w:rsid w:val="00B30036"/>
    <w:rsid w:val="00B307AE"/>
    <w:rsid w:val="00B30F00"/>
    <w:rsid w:val="00B32E02"/>
    <w:rsid w:val="00B365C9"/>
    <w:rsid w:val="00B40532"/>
    <w:rsid w:val="00B46807"/>
    <w:rsid w:val="00B62F69"/>
    <w:rsid w:val="00B66F46"/>
    <w:rsid w:val="00B77936"/>
    <w:rsid w:val="00B90E66"/>
    <w:rsid w:val="00B941FC"/>
    <w:rsid w:val="00BA6D1B"/>
    <w:rsid w:val="00BB37D9"/>
    <w:rsid w:val="00BB65A9"/>
    <w:rsid w:val="00BC4D05"/>
    <w:rsid w:val="00BC7AA6"/>
    <w:rsid w:val="00BD5DDE"/>
    <w:rsid w:val="00BE0023"/>
    <w:rsid w:val="00BE221D"/>
    <w:rsid w:val="00BF1D98"/>
    <w:rsid w:val="00BF730D"/>
    <w:rsid w:val="00C00859"/>
    <w:rsid w:val="00C00F45"/>
    <w:rsid w:val="00C10882"/>
    <w:rsid w:val="00C12F1E"/>
    <w:rsid w:val="00C13066"/>
    <w:rsid w:val="00C1735F"/>
    <w:rsid w:val="00C349D2"/>
    <w:rsid w:val="00C34EAE"/>
    <w:rsid w:val="00C35FE0"/>
    <w:rsid w:val="00C36F92"/>
    <w:rsid w:val="00C4151F"/>
    <w:rsid w:val="00C443B2"/>
    <w:rsid w:val="00C448F1"/>
    <w:rsid w:val="00C5706D"/>
    <w:rsid w:val="00C647FB"/>
    <w:rsid w:val="00C64E94"/>
    <w:rsid w:val="00C650B0"/>
    <w:rsid w:val="00C77E62"/>
    <w:rsid w:val="00C97FC7"/>
    <w:rsid w:val="00CA611C"/>
    <w:rsid w:val="00CB7268"/>
    <w:rsid w:val="00CC2EBA"/>
    <w:rsid w:val="00CC4AA3"/>
    <w:rsid w:val="00CC6FDA"/>
    <w:rsid w:val="00CE2A11"/>
    <w:rsid w:val="00CE4365"/>
    <w:rsid w:val="00CE5C01"/>
    <w:rsid w:val="00CF54BD"/>
    <w:rsid w:val="00D0378C"/>
    <w:rsid w:val="00D1445E"/>
    <w:rsid w:val="00D212E8"/>
    <w:rsid w:val="00D2611B"/>
    <w:rsid w:val="00D26625"/>
    <w:rsid w:val="00D26B01"/>
    <w:rsid w:val="00D322DA"/>
    <w:rsid w:val="00D331C6"/>
    <w:rsid w:val="00D45EE1"/>
    <w:rsid w:val="00D46BFD"/>
    <w:rsid w:val="00D50CA3"/>
    <w:rsid w:val="00D51ADB"/>
    <w:rsid w:val="00D56B76"/>
    <w:rsid w:val="00D617A4"/>
    <w:rsid w:val="00D629A0"/>
    <w:rsid w:val="00D84C92"/>
    <w:rsid w:val="00D8503A"/>
    <w:rsid w:val="00D87B6F"/>
    <w:rsid w:val="00D91BBA"/>
    <w:rsid w:val="00DA7F23"/>
    <w:rsid w:val="00DB1924"/>
    <w:rsid w:val="00DB3BBB"/>
    <w:rsid w:val="00DC7E83"/>
    <w:rsid w:val="00DD219D"/>
    <w:rsid w:val="00DD569C"/>
    <w:rsid w:val="00DD5B07"/>
    <w:rsid w:val="00DD5EAA"/>
    <w:rsid w:val="00DD65F2"/>
    <w:rsid w:val="00DE20DD"/>
    <w:rsid w:val="00DE6D2B"/>
    <w:rsid w:val="00DF025C"/>
    <w:rsid w:val="00E00611"/>
    <w:rsid w:val="00E027C7"/>
    <w:rsid w:val="00E0690D"/>
    <w:rsid w:val="00E105F1"/>
    <w:rsid w:val="00E14BF7"/>
    <w:rsid w:val="00E265A7"/>
    <w:rsid w:val="00E30710"/>
    <w:rsid w:val="00E45E13"/>
    <w:rsid w:val="00E460AF"/>
    <w:rsid w:val="00E461BD"/>
    <w:rsid w:val="00E51B49"/>
    <w:rsid w:val="00E56C62"/>
    <w:rsid w:val="00E60456"/>
    <w:rsid w:val="00E77BD9"/>
    <w:rsid w:val="00E83DDA"/>
    <w:rsid w:val="00E84A17"/>
    <w:rsid w:val="00E90A72"/>
    <w:rsid w:val="00EA0305"/>
    <w:rsid w:val="00EA497F"/>
    <w:rsid w:val="00EA588B"/>
    <w:rsid w:val="00EA7717"/>
    <w:rsid w:val="00EB51E6"/>
    <w:rsid w:val="00EB5964"/>
    <w:rsid w:val="00EB63CD"/>
    <w:rsid w:val="00EC1C92"/>
    <w:rsid w:val="00EC56A3"/>
    <w:rsid w:val="00ED1ABD"/>
    <w:rsid w:val="00ED5F00"/>
    <w:rsid w:val="00ED6B1A"/>
    <w:rsid w:val="00EE608A"/>
    <w:rsid w:val="00EE6E13"/>
    <w:rsid w:val="00EF5C67"/>
    <w:rsid w:val="00F00460"/>
    <w:rsid w:val="00F0165C"/>
    <w:rsid w:val="00F048B3"/>
    <w:rsid w:val="00F062F0"/>
    <w:rsid w:val="00F142D9"/>
    <w:rsid w:val="00F20950"/>
    <w:rsid w:val="00F23538"/>
    <w:rsid w:val="00F25756"/>
    <w:rsid w:val="00F26852"/>
    <w:rsid w:val="00F31450"/>
    <w:rsid w:val="00F41294"/>
    <w:rsid w:val="00F42694"/>
    <w:rsid w:val="00F448B1"/>
    <w:rsid w:val="00F50778"/>
    <w:rsid w:val="00F6207A"/>
    <w:rsid w:val="00F64AE3"/>
    <w:rsid w:val="00F71630"/>
    <w:rsid w:val="00F734C2"/>
    <w:rsid w:val="00F80DF9"/>
    <w:rsid w:val="00F812EF"/>
    <w:rsid w:val="00F93821"/>
    <w:rsid w:val="00F95635"/>
    <w:rsid w:val="00FA041E"/>
    <w:rsid w:val="00FA4630"/>
    <w:rsid w:val="00FA723A"/>
    <w:rsid w:val="00FB1D70"/>
    <w:rsid w:val="00FB1E90"/>
    <w:rsid w:val="00FB67B7"/>
    <w:rsid w:val="00FC7393"/>
    <w:rsid w:val="00FD28B3"/>
    <w:rsid w:val="00FD5EFF"/>
    <w:rsid w:val="00FD78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A00C8"/>
  <w15:chartTrackingRefBased/>
  <w15:docId w15:val="{25AFF620-C5EA-4AA7-BF25-9A43EAB5E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E82"/>
    <w:rPr>
      <w:rFonts w:ascii="Calibri Light" w:hAnsi="Calibri Light"/>
    </w:rPr>
  </w:style>
  <w:style w:type="paragraph" w:styleId="Heading1">
    <w:name w:val="heading 1"/>
    <w:basedOn w:val="Normal"/>
    <w:next w:val="Normal"/>
    <w:link w:val="Heading1Char"/>
    <w:uiPriority w:val="9"/>
    <w:qFormat/>
    <w:rsid w:val="004E7C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E7C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E7C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7C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7C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7C8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7C8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7C8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7C8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C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E7C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E7C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7C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7C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7C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7C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7C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7C82"/>
    <w:rPr>
      <w:rFonts w:eastAsiaTheme="majorEastAsia" w:cstheme="majorBidi"/>
      <w:color w:val="272727" w:themeColor="text1" w:themeTint="D8"/>
    </w:rPr>
  </w:style>
  <w:style w:type="paragraph" w:styleId="Title">
    <w:name w:val="Title"/>
    <w:basedOn w:val="Normal"/>
    <w:next w:val="Normal"/>
    <w:link w:val="TitleChar"/>
    <w:uiPriority w:val="10"/>
    <w:qFormat/>
    <w:rsid w:val="004E7C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7C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7C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7C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7C82"/>
    <w:pPr>
      <w:spacing w:before="160"/>
      <w:jc w:val="center"/>
    </w:pPr>
    <w:rPr>
      <w:i/>
      <w:iCs/>
      <w:color w:val="404040" w:themeColor="text1" w:themeTint="BF"/>
    </w:rPr>
  </w:style>
  <w:style w:type="character" w:customStyle="1" w:styleId="QuoteChar">
    <w:name w:val="Quote Char"/>
    <w:basedOn w:val="DefaultParagraphFont"/>
    <w:link w:val="Quote"/>
    <w:uiPriority w:val="29"/>
    <w:rsid w:val="004E7C82"/>
    <w:rPr>
      <w:i/>
      <w:iCs/>
      <w:color w:val="404040" w:themeColor="text1" w:themeTint="BF"/>
    </w:rPr>
  </w:style>
  <w:style w:type="paragraph" w:styleId="ListParagraph">
    <w:name w:val="List Paragraph"/>
    <w:basedOn w:val="Normal"/>
    <w:uiPriority w:val="34"/>
    <w:qFormat/>
    <w:rsid w:val="004E7C82"/>
    <w:pPr>
      <w:ind w:left="720"/>
      <w:contextualSpacing/>
    </w:pPr>
  </w:style>
  <w:style w:type="character" w:styleId="IntenseEmphasis">
    <w:name w:val="Intense Emphasis"/>
    <w:basedOn w:val="DefaultParagraphFont"/>
    <w:uiPriority w:val="21"/>
    <w:qFormat/>
    <w:rsid w:val="004E7C82"/>
    <w:rPr>
      <w:i/>
      <w:iCs/>
      <w:color w:val="0F4761" w:themeColor="accent1" w:themeShade="BF"/>
    </w:rPr>
  </w:style>
  <w:style w:type="paragraph" w:styleId="IntenseQuote">
    <w:name w:val="Intense Quote"/>
    <w:basedOn w:val="Normal"/>
    <w:next w:val="Normal"/>
    <w:link w:val="IntenseQuoteChar"/>
    <w:uiPriority w:val="30"/>
    <w:qFormat/>
    <w:rsid w:val="004E7C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7C82"/>
    <w:rPr>
      <w:i/>
      <w:iCs/>
      <w:color w:val="0F4761" w:themeColor="accent1" w:themeShade="BF"/>
    </w:rPr>
  </w:style>
  <w:style w:type="character" w:styleId="IntenseReference">
    <w:name w:val="Intense Reference"/>
    <w:basedOn w:val="DefaultParagraphFont"/>
    <w:uiPriority w:val="32"/>
    <w:qFormat/>
    <w:rsid w:val="004E7C82"/>
    <w:rPr>
      <w:b/>
      <w:bCs/>
      <w:smallCaps/>
      <w:color w:val="0F4761" w:themeColor="accent1" w:themeShade="BF"/>
      <w:spacing w:val="5"/>
    </w:rPr>
  </w:style>
  <w:style w:type="table" w:styleId="TableGrid">
    <w:name w:val="Table Grid"/>
    <w:basedOn w:val="TableNormal"/>
    <w:uiPriority w:val="39"/>
    <w:rsid w:val="00122F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122F34"/>
    <w:pPr>
      <w:spacing w:after="200" w:line="240" w:lineRule="auto"/>
    </w:pPr>
    <w:rPr>
      <w:i/>
      <w:iCs/>
      <w:color w:val="0E2841" w:themeColor="text2"/>
      <w:sz w:val="18"/>
      <w:szCs w:val="18"/>
    </w:rPr>
  </w:style>
  <w:style w:type="table" w:styleId="GridTable5Dark-Accent1">
    <w:name w:val="Grid Table 5 Dark Accent 1"/>
    <w:basedOn w:val="TableNormal"/>
    <w:uiPriority w:val="50"/>
    <w:rsid w:val="003D3E7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character" w:styleId="PlaceholderText">
    <w:name w:val="Placeholder Text"/>
    <w:basedOn w:val="DefaultParagraphFont"/>
    <w:uiPriority w:val="99"/>
    <w:semiHidden/>
    <w:rsid w:val="00DD219D"/>
    <w:rPr>
      <w:color w:val="666666"/>
    </w:rPr>
  </w:style>
  <w:style w:type="character" w:styleId="Hyperlink">
    <w:name w:val="Hyperlink"/>
    <w:basedOn w:val="DefaultParagraphFont"/>
    <w:uiPriority w:val="99"/>
    <w:unhideWhenUsed/>
    <w:rsid w:val="00940332"/>
    <w:rPr>
      <w:color w:val="467886" w:themeColor="hyperlink"/>
      <w:u w:val="single"/>
    </w:rPr>
  </w:style>
  <w:style w:type="paragraph" w:styleId="Bibliography">
    <w:name w:val="Bibliography"/>
    <w:basedOn w:val="Normal"/>
    <w:next w:val="Normal"/>
    <w:uiPriority w:val="37"/>
    <w:unhideWhenUsed/>
    <w:rsid w:val="001D0C63"/>
    <w:pPr>
      <w:tabs>
        <w:tab w:val="left" w:pos="144"/>
      </w:tabs>
      <w:spacing w:after="240" w:line="240" w:lineRule="auto"/>
      <w:ind w:left="144" w:hanging="144"/>
    </w:pPr>
  </w:style>
  <w:style w:type="paragraph" w:styleId="Revision">
    <w:name w:val="Revision"/>
    <w:hidden/>
    <w:uiPriority w:val="99"/>
    <w:semiHidden/>
    <w:rsid w:val="002B089D"/>
    <w:pPr>
      <w:spacing w:after="0" w:line="240" w:lineRule="auto"/>
    </w:pPr>
    <w:rPr>
      <w:rFonts w:ascii="Calibri Light" w:hAnsi="Calibri Light"/>
    </w:rPr>
  </w:style>
  <w:style w:type="character" w:styleId="CommentReference">
    <w:name w:val="annotation reference"/>
    <w:basedOn w:val="DefaultParagraphFont"/>
    <w:uiPriority w:val="99"/>
    <w:semiHidden/>
    <w:unhideWhenUsed/>
    <w:rsid w:val="002B089D"/>
    <w:rPr>
      <w:sz w:val="16"/>
      <w:szCs w:val="16"/>
    </w:rPr>
  </w:style>
  <w:style w:type="paragraph" w:styleId="CommentText">
    <w:name w:val="annotation text"/>
    <w:basedOn w:val="Normal"/>
    <w:link w:val="CommentTextChar"/>
    <w:uiPriority w:val="99"/>
    <w:unhideWhenUsed/>
    <w:rsid w:val="002B089D"/>
    <w:pPr>
      <w:spacing w:line="240" w:lineRule="auto"/>
    </w:pPr>
    <w:rPr>
      <w:sz w:val="20"/>
      <w:szCs w:val="20"/>
    </w:rPr>
  </w:style>
  <w:style w:type="character" w:customStyle="1" w:styleId="CommentTextChar">
    <w:name w:val="Comment Text Char"/>
    <w:basedOn w:val="DefaultParagraphFont"/>
    <w:link w:val="CommentText"/>
    <w:uiPriority w:val="99"/>
    <w:rsid w:val="002B089D"/>
    <w:rPr>
      <w:rFonts w:ascii="Calibri Light" w:hAnsi="Calibri Light"/>
      <w:sz w:val="20"/>
      <w:szCs w:val="20"/>
    </w:rPr>
  </w:style>
  <w:style w:type="paragraph" w:styleId="CommentSubject">
    <w:name w:val="annotation subject"/>
    <w:basedOn w:val="CommentText"/>
    <w:next w:val="CommentText"/>
    <w:link w:val="CommentSubjectChar"/>
    <w:uiPriority w:val="99"/>
    <w:semiHidden/>
    <w:unhideWhenUsed/>
    <w:rsid w:val="002B089D"/>
    <w:rPr>
      <w:b/>
      <w:bCs/>
    </w:rPr>
  </w:style>
  <w:style w:type="character" w:customStyle="1" w:styleId="CommentSubjectChar">
    <w:name w:val="Comment Subject Char"/>
    <w:basedOn w:val="CommentTextChar"/>
    <w:link w:val="CommentSubject"/>
    <w:uiPriority w:val="99"/>
    <w:semiHidden/>
    <w:rsid w:val="002B089D"/>
    <w:rPr>
      <w:rFonts w:ascii="Calibri Light" w:hAnsi="Calibri Ligh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annah.wainman@bristol.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9730956-78AF-4066-81A5-F07D86E9ED7D}">
  <we:reference id="wa200001361" version="2.129.3.0" store="en-US" storeType="OMEX"/>
  <we:alternateReferences>
    <we:reference id="WA200001361" version="2.129.3.0" store="" storeType="OMEX"/>
  </we:alternateReferences>
  <we:properties>
    <we:property name="paperpal-document-id" value="&quot;c56beff2-8169-471c-abe8-26f9d7600bcf&quot;"/>
  </we:properties>
  <we:bindings/>
  <we:snapshot xmlns:r="http://schemas.openxmlformats.org/officeDocument/2006/relationships"/>
</we:webextension>
</file>

<file path=docMetadata/LabelInfo.xml><?xml version="1.0" encoding="utf-8"?>
<clbl:labelList xmlns:clbl="http://schemas.microsoft.com/office/2020/mipLabelMetadata">
  <clbl:label id="{bdb74b30-9568-4856-bdbf-06759778fcbc}" enabled="0" method="" siteId="{bdb74b30-9568-4856-bdbf-06759778fcbc}" removed="1"/>
</clbl:labelList>
</file>

<file path=docProps/app.xml><?xml version="1.0" encoding="utf-8"?>
<Properties xmlns="http://schemas.openxmlformats.org/officeDocument/2006/extended-properties" xmlns:vt="http://schemas.openxmlformats.org/officeDocument/2006/docPropsVTypes">
  <Template>Normal</Template>
  <TotalTime>1</TotalTime>
  <Pages>5</Pages>
  <Words>4687</Words>
  <Characters>26955</Characters>
  <Application>Microsoft Office Word</Application>
  <DocSecurity>0</DocSecurity>
  <Lines>869</Lines>
  <Paragraphs>555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Wainman</dc:creator>
  <cp:keywords/>
  <dc:description/>
  <cp:lastModifiedBy>John Ingram</cp:lastModifiedBy>
  <cp:revision>3</cp:revision>
  <dcterms:created xsi:type="dcterms:W3CDTF">2026-01-29T09:42:00Z</dcterms:created>
  <dcterms:modified xsi:type="dcterms:W3CDTF">2026-01-29T09:43:00Z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zotero-version="7.0.30"&gt;&lt;session id="AfEQqiVP"/&gt;&lt;style id="http://www.zotero.org/styles/british-journal-of-dermatology" hasBibliography="1" bibliographyStyleHasBeenSet="1"/&gt;&lt;prefs&gt;&lt;pref name="fieldType" value="Field"/&gt;&lt;/prefs&gt;&lt;/data</vt:lpwstr>
  </property>
  <property fmtid="{D5CDD505-2E9C-101B-9397-08002B2CF9AE}" pid="3" name="ZOTERO_PREF_2">
    <vt:lpwstr>&gt;</vt:lpwstr>
  </property>
</Properties>
</file>